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95B3D" w14:textId="77777777" w:rsidR="002C32C8" w:rsidRDefault="002C32C8" w:rsidP="002C32C8">
      <w:pPr>
        <w:ind w:left="-540"/>
      </w:pPr>
      <w:bookmarkStart w:id="0" w:name="_GoBack"/>
      <w:bookmarkEnd w:id="0"/>
    </w:p>
    <w:p w14:paraId="52BDE25D" w14:textId="77777777" w:rsidR="002C32C8" w:rsidRDefault="002C32C8"/>
    <w:p w14:paraId="59A1F442" w14:textId="77777777" w:rsidR="002C32C8" w:rsidRDefault="002C32C8"/>
    <w:p w14:paraId="35246616" w14:textId="77777777" w:rsidR="002A1634" w:rsidRDefault="004B32FE">
      <w:r w:rsidRPr="004B32FE">
        <w:rPr>
          <w:noProof/>
        </w:rPr>
        <w:drawing>
          <wp:inline distT="0" distB="0" distL="0" distR="0" wp14:anchorId="6E943599" wp14:editId="46D922CC">
            <wp:extent cx="5270500" cy="35094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3509442"/>
                    </a:xfrm>
                    <a:prstGeom prst="rect">
                      <a:avLst/>
                    </a:prstGeom>
                    <a:noFill/>
                    <a:ln>
                      <a:noFill/>
                    </a:ln>
                  </pic:spPr>
                </pic:pic>
              </a:graphicData>
            </a:graphic>
          </wp:inline>
        </w:drawing>
      </w:r>
    </w:p>
    <w:p w14:paraId="506D393A" w14:textId="77777777" w:rsidR="004B32FE" w:rsidRDefault="004B32FE"/>
    <w:p w14:paraId="09393ABE" w14:textId="77777777" w:rsidR="004B32FE" w:rsidRDefault="004B32FE">
      <w:r>
        <w:t xml:space="preserve">        </w:t>
      </w:r>
      <w:r w:rsidRPr="004B32FE">
        <w:rPr>
          <w:noProof/>
        </w:rPr>
        <w:drawing>
          <wp:inline distT="0" distB="0" distL="0" distR="0" wp14:anchorId="1318BB76" wp14:editId="36DC5F0E">
            <wp:extent cx="5270500" cy="35094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3509442"/>
                    </a:xfrm>
                    <a:prstGeom prst="rect">
                      <a:avLst/>
                    </a:prstGeom>
                    <a:noFill/>
                    <a:ln>
                      <a:noFill/>
                    </a:ln>
                  </pic:spPr>
                </pic:pic>
              </a:graphicData>
            </a:graphic>
          </wp:inline>
        </w:drawing>
      </w:r>
    </w:p>
    <w:p w14:paraId="738F483D" w14:textId="77777777" w:rsidR="004B32FE" w:rsidRDefault="004B32FE"/>
    <w:p w14:paraId="5AD3355C" w14:textId="77777777" w:rsidR="004B32FE" w:rsidRDefault="004B32FE">
      <w:r w:rsidRPr="004B32FE">
        <w:rPr>
          <w:noProof/>
        </w:rPr>
        <w:lastRenderedPageBreak/>
        <w:drawing>
          <wp:inline distT="0" distB="0" distL="0" distR="0" wp14:anchorId="3F3776F9" wp14:editId="4DDC14F5">
            <wp:extent cx="5270500" cy="35094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509442"/>
                    </a:xfrm>
                    <a:prstGeom prst="rect">
                      <a:avLst/>
                    </a:prstGeom>
                    <a:noFill/>
                    <a:ln>
                      <a:noFill/>
                    </a:ln>
                  </pic:spPr>
                </pic:pic>
              </a:graphicData>
            </a:graphic>
          </wp:inline>
        </w:drawing>
      </w:r>
    </w:p>
    <w:p w14:paraId="73B2E528" w14:textId="77777777" w:rsidR="004B32FE" w:rsidRDefault="004B32FE"/>
    <w:p w14:paraId="310E2E76" w14:textId="77777777" w:rsidR="004B32FE" w:rsidRDefault="004B32FE"/>
    <w:p w14:paraId="08193352" w14:textId="77777777" w:rsidR="004B32FE" w:rsidRDefault="004B32FE">
      <w:r w:rsidRPr="004B32FE">
        <w:rPr>
          <w:noProof/>
        </w:rPr>
        <w:drawing>
          <wp:inline distT="0" distB="0" distL="0" distR="0" wp14:anchorId="0F1CE76E" wp14:editId="62E71411">
            <wp:extent cx="5270500" cy="35094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509442"/>
                    </a:xfrm>
                    <a:prstGeom prst="rect">
                      <a:avLst/>
                    </a:prstGeom>
                    <a:noFill/>
                    <a:ln>
                      <a:noFill/>
                    </a:ln>
                  </pic:spPr>
                </pic:pic>
              </a:graphicData>
            </a:graphic>
          </wp:inline>
        </w:drawing>
      </w:r>
    </w:p>
    <w:p w14:paraId="49D28B15" w14:textId="77777777" w:rsidR="004B32FE" w:rsidRDefault="004B32FE"/>
    <w:p w14:paraId="2D2E8A9C" w14:textId="77777777" w:rsidR="004B32FE" w:rsidRDefault="004B32FE">
      <w:r w:rsidRPr="004B32FE">
        <w:rPr>
          <w:noProof/>
        </w:rPr>
        <w:drawing>
          <wp:inline distT="0" distB="0" distL="0" distR="0" wp14:anchorId="55F9B75A" wp14:editId="67FBD61A">
            <wp:extent cx="5270500" cy="35094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509442"/>
                    </a:xfrm>
                    <a:prstGeom prst="rect">
                      <a:avLst/>
                    </a:prstGeom>
                    <a:noFill/>
                    <a:ln>
                      <a:noFill/>
                    </a:ln>
                  </pic:spPr>
                </pic:pic>
              </a:graphicData>
            </a:graphic>
          </wp:inline>
        </w:drawing>
      </w:r>
    </w:p>
    <w:p w14:paraId="6D883E50" w14:textId="77777777" w:rsidR="004B32FE" w:rsidRDefault="004B32FE"/>
    <w:p w14:paraId="1ECB7362" w14:textId="77777777" w:rsidR="004B32FE" w:rsidRDefault="004B32FE">
      <w:r w:rsidRPr="004B32FE">
        <w:rPr>
          <w:noProof/>
        </w:rPr>
        <w:drawing>
          <wp:inline distT="0" distB="0" distL="0" distR="0" wp14:anchorId="43519E8D" wp14:editId="2D3C71C6">
            <wp:extent cx="5270500" cy="35094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509442"/>
                    </a:xfrm>
                    <a:prstGeom prst="rect">
                      <a:avLst/>
                    </a:prstGeom>
                    <a:noFill/>
                    <a:ln>
                      <a:noFill/>
                    </a:ln>
                  </pic:spPr>
                </pic:pic>
              </a:graphicData>
            </a:graphic>
          </wp:inline>
        </w:drawing>
      </w:r>
    </w:p>
    <w:p w14:paraId="7E1634DD" w14:textId="77777777" w:rsidR="004B32FE" w:rsidRDefault="004B32FE"/>
    <w:p w14:paraId="34F70051" w14:textId="77777777" w:rsidR="004B32FE" w:rsidRDefault="004B32FE">
      <w:r w:rsidRPr="004B32FE">
        <w:rPr>
          <w:noProof/>
        </w:rPr>
        <w:drawing>
          <wp:inline distT="0" distB="0" distL="0" distR="0" wp14:anchorId="02E577A6" wp14:editId="382BD00E">
            <wp:extent cx="5270500" cy="35094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509442"/>
                    </a:xfrm>
                    <a:prstGeom prst="rect">
                      <a:avLst/>
                    </a:prstGeom>
                    <a:noFill/>
                    <a:ln>
                      <a:noFill/>
                    </a:ln>
                  </pic:spPr>
                </pic:pic>
              </a:graphicData>
            </a:graphic>
          </wp:inline>
        </w:drawing>
      </w:r>
    </w:p>
    <w:p w14:paraId="02D3EAFD" w14:textId="77777777" w:rsidR="004B32FE" w:rsidRDefault="004B32FE"/>
    <w:p w14:paraId="16EA8AEF" w14:textId="77777777" w:rsidR="004B32FE" w:rsidRDefault="004B32FE">
      <w:r w:rsidRPr="004B32FE">
        <w:rPr>
          <w:noProof/>
        </w:rPr>
        <w:drawing>
          <wp:inline distT="0" distB="0" distL="0" distR="0" wp14:anchorId="03D97E23" wp14:editId="49C8AF0D">
            <wp:extent cx="5270500" cy="35094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509442"/>
                    </a:xfrm>
                    <a:prstGeom prst="rect">
                      <a:avLst/>
                    </a:prstGeom>
                    <a:noFill/>
                    <a:ln>
                      <a:noFill/>
                    </a:ln>
                  </pic:spPr>
                </pic:pic>
              </a:graphicData>
            </a:graphic>
          </wp:inline>
        </w:drawing>
      </w:r>
    </w:p>
    <w:p w14:paraId="3EE0ADF2" w14:textId="77777777" w:rsidR="004B32FE" w:rsidRDefault="004B32FE"/>
    <w:p w14:paraId="4C7DF375" w14:textId="77777777" w:rsidR="004B32FE" w:rsidRDefault="004B32FE">
      <w:r w:rsidRPr="004B32FE">
        <w:rPr>
          <w:noProof/>
        </w:rPr>
        <w:drawing>
          <wp:inline distT="0" distB="0" distL="0" distR="0" wp14:anchorId="32F05140" wp14:editId="4869E1AF">
            <wp:extent cx="5270500" cy="35094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509442"/>
                    </a:xfrm>
                    <a:prstGeom prst="rect">
                      <a:avLst/>
                    </a:prstGeom>
                    <a:noFill/>
                    <a:ln>
                      <a:noFill/>
                    </a:ln>
                  </pic:spPr>
                </pic:pic>
              </a:graphicData>
            </a:graphic>
          </wp:inline>
        </w:drawing>
      </w:r>
    </w:p>
    <w:p w14:paraId="16F1A17A" w14:textId="77777777" w:rsidR="004B32FE" w:rsidRDefault="004B32FE"/>
    <w:p w14:paraId="4ECC9438" w14:textId="77777777" w:rsidR="004B32FE" w:rsidRDefault="004B32FE">
      <w:r w:rsidRPr="004B32FE">
        <w:rPr>
          <w:noProof/>
        </w:rPr>
        <w:drawing>
          <wp:inline distT="0" distB="0" distL="0" distR="0" wp14:anchorId="2103E3D2" wp14:editId="2D47C2B0">
            <wp:extent cx="5270500" cy="35094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509442"/>
                    </a:xfrm>
                    <a:prstGeom prst="rect">
                      <a:avLst/>
                    </a:prstGeom>
                    <a:noFill/>
                    <a:ln>
                      <a:noFill/>
                    </a:ln>
                  </pic:spPr>
                </pic:pic>
              </a:graphicData>
            </a:graphic>
          </wp:inline>
        </w:drawing>
      </w:r>
    </w:p>
    <w:p w14:paraId="195F0C73" w14:textId="77777777" w:rsidR="004B32FE" w:rsidRDefault="004B32FE"/>
    <w:p w14:paraId="6E6D6507" w14:textId="77777777" w:rsidR="004B32FE" w:rsidRDefault="004B32FE">
      <w:r w:rsidRPr="004B32FE">
        <w:rPr>
          <w:noProof/>
        </w:rPr>
        <w:drawing>
          <wp:inline distT="0" distB="0" distL="0" distR="0" wp14:anchorId="350493C8" wp14:editId="0BA64231">
            <wp:extent cx="5270500" cy="35094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3509442"/>
                    </a:xfrm>
                    <a:prstGeom prst="rect">
                      <a:avLst/>
                    </a:prstGeom>
                    <a:noFill/>
                    <a:ln>
                      <a:noFill/>
                    </a:ln>
                  </pic:spPr>
                </pic:pic>
              </a:graphicData>
            </a:graphic>
          </wp:inline>
        </w:drawing>
      </w:r>
    </w:p>
    <w:p w14:paraId="75C9A1CB" w14:textId="77777777" w:rsidR="004B32FE" w:rsidRDefault="004B32FE"/>
    <w:p w14:paraId="5350EA72" w14:textId="77777777" w:rsidR="004B32FE" w:rsidRDefault="004B32FE">
      <w:r w:rsidRPr="004B32FE">
        <w:rPr>
          <w:noProof/>
        </w:rPr>
        <w:drawing>
          <wp:inline distT="0" distB="0" distL="0" distR="0" wp14:anchorId="0445FFD0" wp14:editId="0C736FE9">
            <wp:extent cx="5270500" cy="35094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3509442"/>
                    </a:xfrm>
                    <a:prstGeom prst="rect">
                      <a:avLst/>
                    </a:prstGeom>
                    <a:noFill/>
                    <a:ln>
                      <a:noFill/>
                    </a:ln>
                  </pic:spPr>
                </pic:pic>
              </a:graphicData>
            </a:graphic>
          </wp:inline>
        </w:drawing>
      </w:r>
    </w:p>
    <w:p w14:paraId="623F0170" w14:textId="77777777" w:rsidR="004B32FE" w:rsidRDefault="004B32FE"/>
    <w:p w14:paraId="2627005A" w14:textId="77777777" w:rsidR="004B32FE" w:rsidRDefault="004B32FE">
      <w:r w:rsidRPr="004B32FE">
        <w:rPr>
          <w:noProof/>
        </w:rPr>
        <w:drawing>
          <wp:inline distT="0" distB="0" distL="0" distR="0" wp14:anchorId="4398EA9A" wp14:editId="5C6CEF2F">
            <wp:extent cx="5270500" cy="35094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3509442"/>
                    </a:xfrm>
                    <a:prstGeom prst="rect">
                      <a:avLst/>
                    </a:prstGeom>
                    <a:noFill/>
                    <a:ln>
                      <a:noFill/>
                    </a:ln>
                  </pic:spPr>
                </pic:pic>
              </a:graphicData>
            </a:graphic>
          </wp:inline>
        </w:drawing>
      </w:r>
    </w:p>
    <w:p w14:paraId="41454E4B" w14:textId="77777777" w:rsidR="004B32FE" w:rsidRDefault="004B32FE">
      <w:r w:rsidRPr="004B32FE">
        <w:rPr>
          <w:noProof/>
        </w:rPr>
        <w:drawing>
          <wp:inline distT="0" distB="0" distL="0" distR="0" wp14:anchorId="5A20C4BA" wp14:editId="3627E791">
            <wp:extent cx="5270500" cy="35094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3509442"/>
                    </a:xfrm>
                    <a:prstGeom prst="rect">
                      <a:avLst/>
                    </a:prstGeom>
                    <a:noFill/>
                    <a:ln>
                      <a:noFill/>
                    </a:ln>
                  </pic:spPr>
                </pic:pic>
              </a:graphicData>
            </a:graphic>
          </wp:inline>
        </w:drawing>
      </w:r>
    </w:p>
    <w:p w14:paraId="1AD965AB" w14:textId="77777777" w:rsidR="004B32FE" w:rsidRDefault="004B32FE"/>
    <w:p w14:paraId="211E2378" w14:textId="77777777" w:rsidR="004B32FE" w:rsidRDefault="004B32FE">
      <w:r w:rsidRPr="004B32FE">
        <w:rPr>
          <w:noProof/>
        </w:rPr>
        <w:drawing>
          <wp:inline distT="0" distB="0" distL="0" distR="0" wp14:anchorId="33EB70E8" wp14:editId="6A5735D7">
            <wp:extent cx="5270500" cy="35094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3509442"/>
                    </a:xfrm>
                    <a:prstGeom prst="rect">
                      <a:avLst/>
                    </a:prstGeom>
                    <a:noFill/>
                    <a:ln>
                      <a:noFill/>
                    </a:ln>
                  </pic:spPr>
                </pic:pic>
              </a:graphicData>
            </a:graphic>
          </wp:inline>
        </w:drawing>
      </w:r>
    </w:p>
    <w:p w14:paraId="1C437DF9" w14:textId="77777777" w:rsidR="004C208F" w:rsidRDefault="004C208F"/>
    <w:p w14:paraId="644488F4" w14:textId="77777777" w:rsidR="00F416A1" w:rsidRDefault="00F416A1" w:rsidP="004C208F">
      <w:pPr>
        <w:widowControl w:val="0"/>
        <w:autoSpaceDE w:val="0"/>
        <w:autoSpaceDN w:val="0"/>
        <w:adjustRightInd w:val="0"/>
        <w:rPr>
          <w:rFonts w:ascii="Arial" w:hAnsi="Arial" w:cs="Arial"/>
          <w:color w:val="262626"/>
          <w:sz w:val="22"/>
          <w:szCs w:val="22"/>
          <w:u w:val="single" w:color="262626"/>
        </w:rPr>
      </w:pPr>
    </w:p>
    <w:p w14:paraId="3446EE21" w14:textId="77777777" w:rsidR="00F416A1" w:rsidRDefault="00F416A1" w:rsidP="004C208F">
      <w:pPr>
        <w:widowControl w:val="0"/>
        <w:autoSpaceDE w:val="0"/>
        <w:autoSpaceDN w:val="0"/>
        <w:adjustRightInd w:val="0"/>
        <w:rPr>
          <w:rFonts w:ascii="Arial" w:hAnsi="Arial" w:cs="Arial"/>
          <w:color w:val="262626"/>
          <w:sz w:val="22"/>
          <w:szCs w:val="22"/>
          <w:u w:val="single" w:color="262626"/>
        </w:rPr>
      </w:pPr>
    </w:p>
    <w:p w14:paraId="202A3AA3" w14:textId="77777777" w:rsidR="00F416A1" w:rsidRDefault="00F416A1" w:rsidP="004C208F">
      <w:pPr>
        <w:widowControl w:val="0"/>
        <w:autoSpaceDE w:val="0"/>
        <w:autoSpaceDN w:val="0"/>
        <w:adjustRightInd w:val="0"/>
        <w:rPr>
          <w:rFonts w:ascii="Arial" w:hAnsi="Arial" w:cs="Arial"/>
          <w:color w:val="262626"/>
          <w:sz w:val="22"/>
          <w:szCs w:val="22"/>
          <w:u w:val="single" w:color="262626"/>
        </w:rPr>
      </w:pPr>
    </w:p>
    <w:p w14:paraId="0F18401B" w14:textId="77777777" w:rsidR="00F416A1" w:rsidRPr="00F416A1" w:rsidRDefault="00F416A1" w:rsidP="004C208F">
      <w:pPr>
        <w:widowControl w:val="0"/>
        <w:autoSpaceDE w:val="0"/>
        <w:autoSpaceDN w:val="0"/>
        <w:adjustRightInd w:val="0"/>
        <w:rPr>
          <w:rFonts w:ascii="Arial" w:hAnsi="Arial" w:cs="Arial"/>
          <w:color w:val="FF0000"/>
          <w:sz w:val="36"/>
          <w:szCs w:val="22"/>
          <w:u w:val="single" w:color="262626"/>
        </w:rPr>
      </w:pPr>
    </w:p>
    <w:p w14:paraId="30600AD3" w14:textId="77777777" w:rsidR="00F416A1" w:rsidRPr="00F416A1" w:rsidRDefault="00F416A1" w:rsidP="00F416A1">
      <w:pPr>
        <w:widowControl w:val="0"/>
        <w:autoSpaceDE w:val="0"/>
        <w:autoSpaceDN w:val="0"/>
        <w:adjustRightInd w:val="0"/>
        <w:rPr>
          <w:rFonts w:ascii="Arial" w:hAnsi="Arial" w:cs="Arial"/>
          <w:color w:val="FF0000"/>
          <w:sz w:val="36"/>
          <w:szCs w:val="22"/>
          <w:u w:color="262626"/>
        </w:rPr>
      </w:pPr>
      <w:r w:rsidRPr="00F416A1">
        <w:rPr>
          <w:rFonts w:ascii="Arial" w:hAnsi="Arial" w:cs="Arial"/>
          <w:color w:val="FF0000"/>
          <w:sz w:val="36"/>
          <w:szCs w:val="22"/>
          <w:u w:val="single" w:color="262626"/>
        </w:rPr>
        <w:t>Mutat Res.</w:t>
      </w:r>
      <w:r w:rsidRPr="00F416A1">
        <w:rPr>
          <w:rFonts w:ascii="Arial" w:hAnsi="Arial" w:cs="Arial"/>
          <w:color w:val="FF0000"/>
          <w:sz w:val="36"/>
          <w:szCs w:val="22"/>
          <w:u w:color="262626"/>
        </w:rPr>
        <w:t xml:space="preserve"> 1995 Mar;327(1-2):179-200.</w:t>
      </w:r>
    </w:p>
    <w:p w14:paraId="6F8C1146" w14:textId="77777777" w:rsidR="00F416A1" w:rsidRPr="00F416A1" w:rsidRDefault="00F416A1" w:rsidP="00F416A1">
      <w:pPr>
        <w:widowControl w:val="0"/>
        <w:autoSpaceDE w:val="0"/>
        <w:autoSpaceDN w:val="0"/>
        <w:adjustRightInd w:val="0"/>
        <w:spacing w:after="120"/>
        <w:rPr>
          <w:rFonts w:ascii="Arial" w:hAnsi="Arial" w:cs="Arial"/>
          <w:b/>
          <w:bCs/>
          <w:color w:val="FF0000"/>
          <w:sz w:val="48"/>
          <w:szCs w:val="32"/>
          <w:u w:color="262626"/>
        </w:rPr>
      </w:pPr>
      <w:r w:rsidRPr="00F416A1">
        <w:rPr>
          <w:rFonts w:ascii="Arial" w:hAnsi="Arial" w:cs="Arial"/>
          <w:b/>
          <w:bCs/>
          <w:color w:val="FF0000"/>
          <w:sz w:val="48"/>
          <w:szCs w:val="32"/>
          <w:u w:color="262626"/>
        </w:rPr>
        <w:t>International Commission for Protection against Environmental Mutagens and Carcinogens. An evaluation of the genetic toxicity of paracetamol.</w:t>
      </w:r>
    </w:p>
    <w:p w14:paraId="6B7F955A" w14:textId="77777777" w:rsidR="00F416A1" w:rsidRDefault="00577FC7" w:rsidP="00F416A1">
      <w:pPr>
        <w:widowControl w:val="0"/>
        <w:autoSpaceDE w:val="0"/>
        <w:autoSpaceDN w:val="0"/>
        <w:adjustRightInd w:val="0"/>
        <w:rPr>
          <w:rFonts w:ascii="Arial" w:hAnsi="Arial" w:cs="Arial"/>
          <w:u w:color="262626"/>
        </w:rPr>
      </w:pPr>
      <w:hyperlink r:id="rId21" w:history="1">
        <w:r w:rsidR="00F416A1">
          <w:rPr>
            <w:rFonts w:ascii="Arial" w:hAnsi="Arial" w:cs="Arial"/>
            <w:color w:val="262626"/>
            <w:u w:val="single" w:color="262626"/>
          </w:rPr>
          <w:t>Rannug U</w:t>
        </w:r>
      </w:hyperlink>
      <w:r w:rsidR="00F416A1">
        <w:rPr>
          <w:rFonts w:ascii="Arial" w:hAnsi="Arial" w:cs="Arial"/>
          <w:u w:color="262626"/>
        </w:rPr>
        <w:t xml:space="preserve">, </w:t>
      </w:r>
      <w:hyperlink r:id="rId22" w:history="1">
        <w:r w:rsidR="00F416A1">
          <w:rPr>
            <w:rFonts w:ascii="Arial" w:hAnsi="Arial" w:cs="Arial"/>
            <w:color w:val="262626"/>
            <w:u w:val="single" w:color="262626"/>
          </w:rPr>
          <w:t>Holme JA</w:t>
        </w:r>
      </w:hyperlink>
      <w:r w:rsidR="00F416A1">
        <w:rPr>
          <w:rFonts w:ascii="Arial" w:hAnsi="Arial" w:cs="Arial"/>
          <w:u w:color="262626"/>
        </w:rPr>
        <w:t xml:space="preserve">, </w:t>
      </w:r>
      <w:hyperlink r:id="rId23" w:history="1">
        <w:r w:rsidR="00F416A1">
          <w:rPr>
            <w:rFonts w:ascii="Arial" w:hAnsi="Arial" w:cs="Arial"/>
            <w:color w:val="262626"/>
            <w:u w:val="single" w:color="262626"/>
          </w:rPr>
          <w:t>Hongslo JK</w:t>
        </w:r>
      </w:hyperlink>
      <w:r w:rsidR="00F416A1">
        <w:rPr>
          <w:rFonts w:ascii="Arial" w:hAnsi="Arial" w:cs="Arial"/>
          <w:u w:color="262626"/>
        </w:rPr>
        <w:t xml:space="preserve">, </w:t>
      </w:r>
      <w:hyperlink r:id="rId24" w:history="1">
        <w:r w:rsidR="00F416A1">
          <w:rPr>
            <w:rFonts w:ascii="Arial" w:hAnsi="Arial" w:cs="Arial"/>
            <w:color w:val="262626"/>
            <w:u w:val="single" w:color="262626"/>
          </w:rPr>
          <w:t>Srám R</w:t>
        </w:r>
      </w:hyperlink>
      <w:r w:rsidR="00F416A1">
        <w:rPr>
          <w:rFonts w:ascii="Arial" w:hAnsi="Arial" w:cs="Arial"/>
          <w:u w:color="262626"/>
        </w:rPr>
        <w:t>.</w:t>
      </w:r>
    </w:p>
    <w:p w14:paraId="18917F54" w14:textId="77777777" w:rsidR="00F416A1" w:rsidRDefault="00F416A1" w:rsidP="00F416A1">
      <w:pPr>
        <w:widowControl w:val="0"/>
        <w:autoSpaceDE w:val="0"/>
        <w:autoSpaceDN w:val="0"/>
        <w:adjustRightInd w:val="0"/>
        <w:spacing w:after="140"/>
        <w:rPr>
          <w:rFonts w:ascii="Arial" w:hAnsi="Arial" w:cs="Arial"/>
          <w:b/>
          <w:bCs/>
          <w:color w:val="5C321B"/>
          <w:u w:color="262626"/>
        </w:rPr>
      </w:pPr>
      <w:r>
        <w:rPr>
          <w:rFonts w:ascii="Arial" w:hAnsi="Arial" w:cs="Arial"/>
          <w:b/>
          <w:bCs/>
          <w:color w:val="5C321B"/>
          <w:u w:color="262626"/>
        </w:rPr>
        <w:t>Source</w:t>
      </w:r>
    </w:p>
    <w:p w14:paraId="20CE8712" w14:textId="77777777" w:rsidR="00F416A1" w:rsidRDefault="00F416A1" w:rsidP="00F416A1">
      <w:pPr>
        <w:widowControl w:val="0"/>
        <w:autoSpaceDE w:val="0"/>
        <w:autoSpaceDN w:val="0"/>
        <w:adjustRightInd w:val="0"/>
        <w:spacing w:after="100"/>
        <w:rPr>
          <w:rFonts w:ascii="Arial" w:hAnsi="Arial" w:cs="Arial"/>
          <w:sz w:val="22"/>
          <w:szCs w:val="22"/>
          <w:u w:color="262626"/>
        </w:rPr>
      </w:pPr>
      <w:r>
        <w:rPr>
          <w:rFonts w:ascii="Arial" w:hAnsi="Arial" w:cs="Arial"/>
          <w:sz w:val="22"/>
          <w:szCs w:val="22"/>
          <w:u w:color="262626"/>
        </w:rPr>
        <w:t>Department of Genetic and Cellular Toxicology, Stockholm University, Sweden.</w:t>
      </w:r>
    </w:p>
    <w:p w14:paraId="2E2070F1" w14:textId="77777777" w:rsidR="00F416A1" w:rsidRDefault="00F416A1" w:rsidP="00F416A1">
      <w:pPr>
        <w:widowControl w:val="0"/>
        <w:autoSpaceDE w:val="0"/>
        <w:autoSpaceDN w:val="0"/>
        <w:adjustRightInd w:val="0"/>
        <w:rPr>
          <w:rFonts w:ascii="Arial" w:hAnsi="Arial" w:cs="Arial"/>
          <w:sz w:val="26"/>
          <w:szCs w:val="26"/>
          <w:u w:color="262626"/>
        </w:rPr>
      </w:pPr>
      <w:r>
        <w:rPr>
          <w:rFonts w:ascii="Arial" w:hAnsi="Arial" w:cs="Arial"/>
          <w:b/>
          <w:bCs/>
          <w:color w:val="824523"/>
          <w:sz w:val="28"/>
          <w:szCs w:val="28"/>
          <w:u w:color="262626"/>
        </w:rPr>
        <w:t>Abstract</w:t>
      </w:r>
    </w:p>
    <w:p w14:paraId="2D999841" w14:textId="77777777" w:rsidR="00F416A1" w:rsidRDefault="00F416A1" w:rsidP="00F416A1">
      <w:pPr>
        <w:widowControl w:val="0"/>
        <w:autoSpaceDE w:val="0"/>
        <w:autoSpaceDN w:val="0"/>
        <w:adjustRightInd w:val="0"/>
        <w:rPr>
          <w:rFonts w:ascii="Arial" w:hAnsi="Arial" w:cs="Arial"/>
          <w:color w:val="262626"/>
          <w:sz w:val="22"/>
          <w:szCs w:val="22"/>
          <w:u w:val="single" w:color="262626"/>
        </w:rPr>
      </w:pPr>
      <w:r>
        <w:rPr>
          <w:rFonts w:ascii="Arial" w:hAnsi="Arial" w:cs="Arial"/>
          <w:sz w:val="26"/>
          <w:szCs w:val="26"/>
          <w:u w:color="262626"/>
        </w:rPr>
        <w:t>During the last years, several reports have indicated genotoxic effects of paracetamol, a widely used non-prescription analgesic and antipyretic drug. Thus, a careful evaluation of a possible genotoxic effect related to paracetamol use is warranted. Studies in vitro and in vivo indicate that the reactive metabolite of paracetamol can bind irreversibly to DNA and cause DNA strand breaks. Paracetamol inhibits both replicative DNA synthesis and DNA repair synthesis in vitro and in experimental animals. Paracetamol does not cause gene mutations, either in bacteria or in mammalian cells. On the other hand, a co-mutagenic effect of paracetamol has been reported. Furthermore, paracetamol increases the frequency of chromosomal damage in mammalian cell lines, isolated human lymphocytes and experimental animals. Two independent studies have shown an increase in chromosomal damage in lymphocytes of human volunteers after intake of therapeutic doses of paracetamol, whereas a third study was negative. Paracetamol-induced chromosomal damage appears to be caused by an inhibition of ribonucleotide reductase. This indicates that a threshold level for the paracetamol-induced chromosomal damage may exist. Genotoxic effects of paracetamol have, however, been demonstrated both in vitro and in vivo at or near therapeutic concentrations. The data indicate that the use of paracetamol may contribute to an increase in the total burden of genotoxic damage in man. Thus, there may be a need to evaluate the therapeutic benefit of paracetamol, taking into consideration not only its potential to induce acute and chronic organ damage, but also genotoxic effects.</w:t>
      </w:r>
    </w:p>
    <w:p w14:paraId="7872D31F" w14:textId="77777777" w:rsidR="00F416A1" w:rsidRDefault="00F416A1" w:rsidP="004C208F">
      <w:pPr>
        <w:widowControl w:val="0"/>
        <w:autoSpaceDE w:val="0"/>
        <w:autoSpaceDN w:val="0"/>
        <w:adjustRightInd w:val="0"/>
        <w:rPr>
          <w:rFonts w:ascii="Arial" w:hAnsi="Arial" w:cs="Arial"/>
          <w:color w:val="262626"/>
          <w:sz w:val="22"/>
          <w:szCs w:val="22"/>
          <w:u w:val="single" w:color="262626"/>
        </w:rPr>
      </w:pPr>
    </w:p>
    <w:p w14:paraId="681A4079" w14:textId="77777777" w:rsidR="00F416A1" w:rsidRDefault="00F416A1" w:rsidP="004C208F">
      <w:pPr>
        <w:widowControl w:val="0"/>
        <w:autoSpaceDE w:val="0"/>
        <w:autoSpaceDN w:val="0"/>
        <w:adjustRightInd w:val="0"/>
        <w:rPr>
          <w:rFonts w:ascii="Arial" w:hAnsi="Arial" w:cs="Arial"/>
          <w:color w:val="262626"/>
          <w:sz w:val="22"/>
          <w:szCs w:val="22"/>
          <w:u w:val="single" w:color="262626"/>
        </w:rPr>
      </w:pPr>
    </w:p>
    <w:p w14:paraId="522857AB" w14:textId="77777777" w:rsidR="00F416A1" w:rsidRDefault="00F416A1" w:rsidP="004C208F">
      <w:pPr>
        <w:widowControl w:val="0"/>
        <w:autoSpaceDE w:val="0"/>
        <w:autoSpaceDN w:val="0"/>
        <w:adjustRightInd w:val="0"/>
        <w:rPr>
          <w:rFonts w:ascii="Arial" w:hAnsi="Arial" w:cs="Arial"/>
          <w:color w:val="262626"/>
          <w:sz w:val="22"/>
          <w:szCs w:val="22"/>
          <w:u w:val="single" w:color="262626"/>
        </w:rPr>
      </w:pPr>
    </w:p>
    <w:p w14:paraId="70B822AB" w14:textId="77777777" w:rsidR="00F416A1" w:rsidRDefault="00F416A1" w:rsidP="004C208F">
      <w:pPr>
        <w:widowControl w:val="0"/>
        <w:autoSpaceDE w:val="0"/>
        <w:autoSpaceDN w:val="0"/>
        <w:adjustRightInd w:val="0"/>
        <w:rPr>
          <w:rFonts w:ascii="Arial" w:hAnsi="Arial" w:cs="Arial"/>
          <w:color w:val="262626"/>
          <w:sz w:val="22"/>
          <w:szCs w:val="22"/>
          <w:u w:val="single" w:color="262626"/>
        </w:rPr>
      </w:pPr>
    </w:p>
    <w:p w14:paraId="6316FB5F" w14:textId="77777777" w:rsidR="00F416A1" w:rsidRDefault="00F416A1" w:rsidP="004C208F">
      <w:pPr>
        <w:widowControl w:val="0"/>
        <w:autoSpaceDE w:val="0"/>
        <w:autoSpaceDN w:val="0"/>
        <w:adjustRightInd w:val="0"/>
        <w:rPr>
          <w:rFonts w:ascii="Arial" w:hAnsi="Arial" w:cs="Arial"/>
          <w:color w:val="262626"/>
          <w:sz w:val="22"/>
          <w:szCs w:val="22"/>
          <w:u w:val="single" w:color="262626"/>
        </w:rPr>
      </w:pPr>
    </w:p>
    <w:p w14:paraId="03B65218" w14:textId="77777777" w:rsidR="00F416A1" w:rsidRDefault="00F416A1" w:rsidP="004C208F">
      <w:pPr>
        <w:widowControl w:val="0"/>
        <w:autoSpaceDE w:val="0"/>
        <w:autoSpaceDN w:val="0"/>
        <w:adjustRightInd w:val="0"/>
        <w:rPr>
          <w:rFonts w:ascii="Arial" w:hAnsi="Arial" w:cs="Arial"/>
          <w:color w:val="262626"/>
          <w:sz w:val="22"/>
          <w:szCs w:val="22"/>
          <w:u w:val="single" w:color="262626"/>
        </w:rPr>
      </w:pPr>
    </w:p>
    <w:p w14:paraId="04780963" w14:textId="77777777" w:rsidR="004A411E" w:rsidRDefault="004C208F" w:rsidP="004C208F">
      <w:pPr>
        <w:widowControl w:val="0"/>
        <w:autoSpaceDE w:val="0"/>
        <w:autoSpaceDN w:val="0"/>
        <w:adjustRightInd w:val="0"/>
        <w:rPr>
          <w:rFonts w:ascii="Arial" w:hAnsi="Arial" w:cs="Arial"/>
          <w:sz w:val="22"/>
          <w:szCs w:val="22"/>
          <w:u w:color="262626"/>
        </w:rPr>
      </w:pPr>
      <w:r>
        <w:rPr>
          <w:rFonts w:ascii="Arial" w:hAnsi="Arial" w:cs="Arial"/>
          <w:color w:val="262626"/>
          <w:sz w:val="22"/>
          <w:szCs w:val="22"/>
          <w:u w:val="single" w:color="262626"/>
        </w:rPr>
        <w:t>Arch Intern Med.</w:t>
      </w:r>
      <w:r>
        <w:rPr>
          <w:rFonts w:ascii="Arial" w:hAnsi="Arial" w:cs="Arial"/>
          <w:sz w:val="22"/>
          <w:szCs w:val="22"/>
          <w:u w:color="262626"/>
        </w:rPr>
        <w:t xml:space="preserve"> 2011 Sep 12;171(16):1487-93. doi: </w:t>
      </w:r>
    </w:p>
    <w:p w14:paraId="0C0CC3F4" w14:textId="77777777" w:rsidR="004C208F" w:rsidRDefault="004C208F" w:rsidP="004C208F">
      <w:pPr>
        <w:widowControl w:val="0"/>
        <w:autoSpaceDE w:val="0"/>
        <w:autoSpaceDN w:val="0"/>
        <w:adjustRightInd w:val="0"/>
        <w:rPr>
          <w:rFonts w:ascii="Arial" w:hAnsi="Arial" w:cs="Arial"/>
          <w:sz w:val="22"/>
          <w:szCs w:val="22"/>
          <w:u w:color="262626"/>
        </w:rPr>
      </w:pPr>
      <w:r>
        <w:rPr>
          <w:rFonts w:ascii="Arial" w:hAnsi="Arial" w:cs="Arial"/>
          <w:sz w:val="22"/>
          <w:szCs w:val="22"/>
          <w:u w:color="262626"/>
        </w:rPr>
        <w:t>10.1001/archinternmed.2011.356.</w:t>
      </w:r>
    </w:p>
    <w:p w14:paraId="60C628D4" w14:textId="77777777" w:rsidR="004C208F" w:rsidRDefault="004C208F" w:rsidP="004C208F">
      <w:pPr>
        <w:widowControl w:val="0"/>
        <w:autoSpaceDE w:val="0"/>
        <w:autoSpaceDN w:val="0"/>
        <w:adjustRightInd w:val="0"/>
        <w:spacing w:after="120"/>
        <w:rPr>
          <w:rFonts w:ascii="Arial" w:hAnsi="Arial" w:cs="Arial"/>
          <w:b/>
          <w:bCs/>
          <w:sz w:val="32"/>
          <w:szCs w:val="32"/>
          <w:u w:color="262626"/>
        </w:rPr>
      </w:pPr>
      <w:r>
        <w:rPr>
          <w:rFonts w:ascii="Arial" w:hAnsi="Arial" w:cs="Arial"/>
          <w:b/>
          <w:bCs/>
          <w:sz w:val="32"/>
          <w:szCs w:val="32"/>
          <w:u w:color="262626"/>
        </w:rPr>
        <w:t>Prospective evaluation of analgesic use and risk of renal cell cancer.</w:t>
      </w:r>
    </w:p>
    <w:p w14:paraId="2D1927E8" w14:textId="77777777" w:rsidR="004C208F" w:rsidRDefault="00577FC7" w:rsidP="004C208F">
      <w:pPr>
        <w:widowControl w:val="0"/>
        <w:autoSpaceDE w:val="0"/>
        <w:autoSpaceDN w:val="0"/>
        <w:adjustRightInd w:val="0"/>
        <w:rPr>
          <w:rFonts w:ascii="Arial" w:hAnsi="Arial" w:cs="Arial"/>
          <w:u w:color="262626"/>
        </w:rPr>
      </w:pPr>
      <w:hyperlink r:id="rId25" w:history="1">
        <w:r w:rsidR="004C208F">
          <w:rPr>
            <w:rFonts w:ascii="Arial" w:hAnsi="Arial" w:cs="Arial"/>
            <w:color w:val="262626"/>
            <w:u w:val="single" w:color="262626"/>
          </w:rPr>
          <w:t>Cho E</w:t>
        </w:r>
      </w:hyperlink>
      <w:r w:rsidR="004C208F">
        <w:rPr>
          <w:rFonts w:ascii="Arial" w:hAnsi="Arial" w:cs="Arial"/>
          <w:u w:color="262626"/>
        </w:rPr>
        <w:t xml:space="preserve">, </w:t>
      </w:r>
      <w:hyperlink r:id="rId26" w:history="1">
        <w:r w:rsidR="004C208F">
          <w:rPr>
            <w:rFonts w:ascii="Arial" w:hAnsi="Arial" w:cs="Arial"/>
            <w:color w:val="262626"/>
            <w:u w:val="single" w:color="262626"/>
          </w:rPr>
          <w:t>Curhan G</w:t>
        </w:r>
      </w:hyperlink>
      <w:r w:rsidR="004C208F">
        <w:rPr>
          <w:rFonts w:ascii="Arial" w:hAnsi="Arial" w:cs="Arial"/>
          <w:u w:color="262626"/>
        </w:rPr>
        <w:t xml:space="preserve">, </w:t>
      </w:r>
      <w:hyperlink r:id="rId27" w:history="1">
        <w:r w:rsidR="004C208F">
          <w:rPr>
            <w:rFonts w:ascii="Arial" w:hAnsi="Arial" w:cs="Arial"/>
            <w:color w:val="262626"/>
            <w:u w:val="single" w:color="262626"/>
          </w:rPr>
          <w:t>Hankinson SE</w:t>
        </w:r>
      </w:hyperlink>
      <w:r w:rsidR="004C208F">
        <w:rPr>
          <w:rFonts w:ascii="Arial" w:hAnsi="Arial" w:cs="Arial"/>
          <w:u w:color="262626"/>
        </w:rPr>
        <w:t xml:space="preserve">, </w:t>
      </w:r>
      <w:hyperlink r:id="rId28" w:history="1">
        <w:r w:rsidR="004C208F">
          <w:rPr>
            <w:rFonts w:ascii="Arial" w:hAnsi="Arial" w:cs="Arial"/>
            <w:color w:val="262626"/>
            <w:u w:val="single" w:color="262626"/>
          </w:rPr>
          <w:t>Kantoff P</w:t>
        </w:r>
      </w:hyperlink>
      <w:r w:rsidR="004C208F">
        <w:rPr>
          <w:rFonts w:ascii="Arial" w:hAnsi="Arial" w:cs="Arial"/>
          <w:u w:color="262626"/>
        </w:rPr>
        <w:t xml:space="preserve">, </w:t>
      </w:r>
      <w:hyperlink r:id="rId29" w:history="1">
        <w:r w:rsidR="004C208F">
          <w:rPr>
            <w:rFonts w:ascii="Arial" w:hAnsi="Arial" w:cs="Arial"/>
            <w:color w:val="262626"/>
            <w:u w:val="single" w:color="262626"/>
          </w:rPr>
          <w:t>Atkins MB</w:t>
        </w:r>
      </w:hyperlink>
      <w:r w:rsidR="004C208F">
        <w:rPr>
          <w:rFonts w:ascii="Arial" w:hAnsi="Arial" w:cs="Arial"/>
          <w:u w:color="262626"/>
        </w:rPr>
        <w:t xml:space="preserve">, </w:t>
      </w:r>
      <w:hyperlink r:id="rId30" w:history="1">
        <w:r w:rsidR="004C208F">
          <w:rPr>
            <w:rFonts w:ascii="Arial" w:hAnsi="Arial" w:cs="Arial"/>
            <w:color w:val="262626"/>
            <w:u w:val="single" w:color="262626"/>
          </w:rPr>
          <w:t>Stampfer M</w:t>
        </w:r>
      </w:hyperlink>
      <w:r w:rsidR="004C208F">
        <w:rPr>
          <w:rFonts w:ascii="Arial" w:hAnsi="Arial" w:cs="Arial"/>
          <w:u w:color="262626"/>
        </w:rPr>
        <w:t xml:space="preserve">, </w:t>
      </w:r>
      <w:hyperlink r:id="rId31" w:history="1">
        <w:r w:rsidR="004C208F">
          <w:rPr>
            <w:rFonts w:ascii="Arial" w:hAnsi="Arial" w:cs="Arial"/>
            <w:color w:val="262626"/>
            <w:u w:val="single" w:color="262626"/>
          </w:rPr>
          <w:t>Choueiri TK</w:t>
        </w:r>
      </w:hyperlink>
      <w:r w:rsidR="004C208F">
        <w:rPr>
          <w:rFonts w:ascii="Arial" w:hAnsi="Arial" w:cs="Arial"/>
          <w:u w:color="262626"/>
        </w:rPr>
        <w:t>.</w:t>
      </w:r>
    </w:p>
    <w:p w14:paraId="391CAF6C" w14:textId="77777777" w:rsidR="004C208F" w:rsidRDefault="004C208F" w:rsidP="004C208F">
      <w:pPr>
        <w:widowControl w:val="0"/>
        <w:autoSpaceDE w:val="0"/>
        <w:autoSpaceDN w:val="0"/>
        <w:adjustRightInd w:val="0"/>
        <w:spacing w:after="140"/>
        <w:rPr>
          <w:rFonts w:ascii="Arial" w:hAnsi="Arial" w:cs="Arial"/>
          <w:b/>
          <w:bCs/>
          <w:color w:val="5C321B"/>
          <w:u w:color="262626"/>
        </w:rPr>
      </w:pPr>
      <w:r>
        <w:rPr>
          <w:rFonts w:ascii="Arial" w:hAnsi="Arial" w:cs="Arial"/>
          <w:b/>
          <w:bCs/>
          <w:color w:val="5C321B"/>
          <w:u w:color="262626"/>
        </w:rPr>
        <w:t>Source</w:t>
      </w:r>
    </w:p>
    <w:p w14:paraId="1C82884B" w14:textId="77777777" w:rsidR="004C208F" w:rsidRDefault="004C208F" w:rsidP="004C208F">
      <w:pPr>
        <w:widowControl w:val="0"/>
        <w:autoSpaceDE w:val="0"/>
        <w:autoSpaceDN w:val="0"/>
        <w:adjustRightInd w:val="0"/>
        <w:spacing w:after="100"/>
        <w:rPr>
          <w:rFonts w:ascii="Arial" w:hAnsi="Arial" w:cs="Arial"/>
          <w:sz w:val="22"/>
          <w:szCs w:val="22"/>
          <w:u w:color="262626"/>
        </w:rPr>
      </w:pPr>
      <w:r>
        <w:rPr>
          <w:rFonts w:ascii="Arial" w:hAnsi="Arial" w:cs="Arial"/>
          <w:sz w:val="22"/>
          <w:szCs w:val="22"/>
          <w:u w:color="262626"/>
        </w:rPr>
        <w:t>Channing Laboratory, Department of Medicine, Brigham and Women's Hospital and Harvard Medical School, Boston, MA 02115, USA. eunyoung.cho@channing.harvard.edu</w:t>
      </w:r>
    </w:p>
    <w:p w14:paraId="56B378B7" w14:textId="77777777" w:rsidR="004C208F" w:rsidRDefault="004C208F" w:rsidP="004C208F">
      <w:pPr>
        <w:widowControl w:val="0"/>
        <w:autoSpaceDE w:val="0"/>
        <w:autoSpaceDN w:val="0"/>
        <w:adjustRightInd w:val="0"/>
        <w:rPr>
          <w:rFonts w:ascii="Arial" w:hAnsi="Arial" w:cs="Arial"/>
          <w:sz w:val="26"/>
          <w:szCs w:val="26"/>
          <w:u w:color="262626"/>
        </w:rPr>
      </w:pPr>
      <w:r>
        <w:rPr>
          <w:rFonts w:ascii="Arial" w:hAnsi="Arial" w:cs="Arial"/>
          <w:b/>
          <w:bCs/>
          <w:color w:val="824523"/>
          <w:sz w:val="28"/>
          <w:szCs w:val="28"/>
          <w:u w:color="262626"/>
        </w:rPr>
        <w:t>Abstract</w:t>
      </w:r>
    </w:p>
    <w:p w14:paraId="3E2AEBA8" w14:textId="77777777" w:rsidR="004C208F" w:rsidRDefault="004C208F" w:rsidP="004C208F">
      <w:pPr>
        <w:widowControl w:val="0"/>
        <w:autoSpaceDE w:val="0"/>
        <w:autoSpaceDN w:val="0"/>
        <w:adjustRightInd w:val="0"/>
        <w:ind w:right="60"/>
        <w:rPr>
          <w:rFonts w:ascii="Arial" w:hAnsi="Arial" w:cs="Arial"/>
          <w:b/>
          <w:bCs/>
          <w:sz w:val="26"/>
          <w:szCs w:val="26"/>
          <w:u w:color="262626"/>
        </w:rPr>
      </w:pPr>
      <w:r>
        <w:rPr>
          <w:rFonts w:ascii="Arial" w:hAnsi="Arial" w:cs="Arial"/>
          <w:b/>
          <w:bCs/>
          <w:sz w:val="26"/>
          <w:szCs w:val="26"/>
          <w:u w:color="262626"/>
        </w:rPr>
        <w:t>BACKGROUND:</w:t>
      </w:r>
    </w:p>
    <w:p w14:paraId="0F9F6A72" w14:textId="77777777" w:rsidR="004C208F" w:rsidRDefault="004C208F" w:rsidP="004C208F">
      <w:pPr>
        <w:widowControl w:val="0"/>
        <w:autoSpaceDE w:val="0"/>
        <w:autoSpaceDN w:val="0"/>
        <w:adjustRightInd w:val="0"/>
        <w:spacing w:after="120"/>
        <w:rPr>
          <w:rFonts w:ascii="Arial" w:hAnsi="Arial" w:cs="Arial"/>
          <w:sz w:val="26"/>
          <w:szCs w:val="26"/>
          <w:u w:color="262626"/>
        </w:rPr>
      </w:pPr>
      <w:r>
        <w:rPr>
          <w:rFonts w:ascii="Arial" w:hAnsi="Arial" w:cs="Arial"/>
          <w:sz w:val="26"/>
          <w:szCs w:val="26"/>
          <w:u w:color="262626"/>
        </w:rPr>
        <w:t>Epidemiologic data suggest that analgesic use increases the risk of renal cell cancer (RCC), but few prospective studies have been published. We investigated the association between analgesic use and RCC in 2 large prospective studies.</w:t>
      </w:r>
    </w:p>
    <w:p w14:paraId="71C345CB" w14:textId="77777777" w:rsidR="004C208F" w:rsidRDefault="004C208F" w:rsidP="004C208F">
      <w:pPr>
        <w:widowControl w:val="0"/>
        <w:autoSpaceDE w:val="0"/>
        <w:autoSpaceDN w:val="0"/>
        <w:adjustRightInd w:val="0"/>
        <w:ind w:right="60"/>
        <w:rPr>
          <w:rFonts w:ascii="Arial" w:hAnsi="Arial" w:cs="Arial"/>
          <w:b/>
          <w:bCs/>
          <w:sz w:val="26"/>
          <w:szCs w:val="26"/>
          <w:u w:color="262626"/>
        </w:rPr>
      </w:pPr>
      <w:r>
        <w:rPr>
          <w:rFonts w:ascii="Arial" w:hAnsi="Arial" w:cs="Arial"/>
          <w:b/>
          <w:bCs/>
          <w:sz w:val="26"/>
          <w:szCs w:val="26"/>
          <w:u w:color="262626"/>
        </w:rPr>
        <w:t>METHODS:</w:t>
      </w:r>
    </w:p>
    <w:p w14:paraId="6B59674B" w14:textId="77777777" w:rsidR="004C208F" w:rsidRDefault="004C208F" w:rsidP="004C208F">
      <w:pPr>
        <w:widowControl w:val="0"/>
        <w:autoSpaceDE w:val="0"/>
        <w:autoSpaceDN w:val="0"/>
        <w:adjustRightInd w:val="0"/>
        <w:spacing w:after="120"/>
        <w:rPr>
          <w:rFonts w:ascii="Arial" w:hAnsi="Arial" w:cs="Arial"/>
          <w:sz w:val="26"/>
          <w:szCs w:val="26"/>
          <w:u w:color="262626"/>
        </w:rPr>
      </w:pPr>
      <w:r>
        <w:rPr>
          <w:rFonts w:ascii="Arial" w:hAnsi="Arial" w:cs="Arial"/>
          <w:sz w:val="26"/>
          <w:szCs w:val="26"/>
          <w:u w:color="262626"/>
        </w:rPr>
        <w:t>We examined the relationship between analgesic use and RCC risk in the Nurses' Health Study and the Health Professionals Follow-up Study. Use of aspirin, other nonsteroidal anti-inflammatory drugs (NSAIDs), and acetaminophen was ascertained in 1990 in the Nurses' Health Study and in 1986 in the Health Professionals Follow-up Study, and every 2 years thereafter. We evaluated baseline and duration of use of analgesics.</w:t>
      </w:r>
    </w:p>
    <w:p w14:paraId="5FDC8D79" w14:textId="77777777" w:rsidR="004C208F" w:rsidRDefault="004C208F" w:rsidP="004C208F">
      <w:pPr>
        <w:widowControl w:val="0"/>
        <w:autoSpaceDE w:val="0"/>
        <w:autoSpaceDN w:val="0"/>
        <w:adjustRightInd w:val="0"/>
        <w:ind w:right="60"/>
        <w:rPr>
          <w:rFonts w:ascii="Arial" w:hAnsi="Arial" w:cs="Arial"/>
          <w:b/>
          <w:bCs/>
          <w:sz w:val="26"/>
          <w:szCs w:val="26"/>
          <w:u w:color="262626"/>
        </w:rPr>
      </w:pPr>
      <w:r>
        <w:rPr>
          <w:rFonts w:ascii="Arial" w:hAnsi="Arial" w:cs="Arial"/>
          <w:b/>
          <w:bCs/>
          <w:sz w:val="26"/>
          <w:szCs w:val="26"/>
          <w:u w:color="262626"/>
        </w:rPr>
        <w:t>RESULTS:</w:t>
      </w:r>
    </w:p>
    <w:p w14:paraId="2B2C4415" w14:textId="77777777" w:rsidR="004C208F" w:rsidRDefault="004C208F" w:rsidP="004C208F">
      <w:pPr>
        <w:widowControl w:val="0"/>
        <w:autoSpaceDE w:val="0"/>
        <w:autoSpaceDN w:val="0"/>
        <w:adjustRightInd w:val="0"/>
        <w:spacing w:after="120"/>
        <w:rPr>
          <w:rFonts w:ascii="Arial" w:hAnsi="Arial" w:cs="Arial"/>
          <w:sz w:val="26"/>
          <w:szCs w:val="26"/>
          <w:u w:color="262626"/>
        </w:rPr>
      </w:pPr>
      <w:r>
        <w:rPr>
          <w:rFonts w:ascii="Arial" w:hAnsi="Arial" w:cs="Arial"/>
          <w:sz w:val="26"/>
          <w:szCs w:val="26"/>
          <w:u w:color="262626"/>
        </w:rPr>
        <w:t>During follow-up of 16 years among 77,525 women and 20 years among 49,403 men, we documented 333 RCC cases. Aspirin and acetaminophen use were not associated with RCC risk. However, regular use of nonaspirin NSAIDs was associated with an increased RCC risk; the pooled multivariate relative risk was 1.51 (95% confidence interval, 1.12-2.04) at baseline. The absolute risk differences for users vs nonusers of nonaspirin NSAIDs were 9.15 per 100 000 person-years in women and 10.92 per 100,000 person-years in men. There was a dose-response relationship between duration of nonaspirin NSAID use and RCC risk; compared with nonregular use, the pooled multivariate relative risks were 0.81 (95% confidence interval, 0.59-1.11) for use less than 4 years, 1.36 (0.98-1.89) for 4 to less than 10 years, and 2.92 (1.71-5.01) for use for 10 or more years (P &lt; .001 for trend).</w:t>
      </w:r>
    </w:p>
    <w:p w14:paraId="5C3CAD66" w14:textId="77777777" w:rsidR="004C208F" w:rsidRDefault="004C208F" w:rsidP="004C208F">
      <w:pPr>
        <w:widowControl w:val="0"/>
        <w:autoSpaceDE w:val="0"/>
        <w:autoSpaceDN w:val="0"/>
        <w:adjustRightInd w:val="0"/>
        <w:ind w:right="60"/>
        <w:rPr>
          <w:rFonts w:ascii="Arial" w:hAnsi="Arial" w:cs="Arial"/>
          <w:b/>
          <w:bCs/>
          <w:sz w:val="26"/>
          <w:szCs w:val="26"/>
          <w:u w:color="262626"/>
        </w:rPr>
      </w:pPr>
      <w:r>
        <w:rPr>
          <w:rFonts w:ascii="Arial" w:hAnsi="Arial" w:cs="Arial"/>
          <w:b/>
          <w:bCs/>
          <w:sz w:val="26"/>
          <w:szCs w:val="26"/>
          <w:u w:color="262626"/>
        </w:rPr>
        <w:t>CONCLUSION:</w:t>
      </w:r>
    </w:p>
    <w:p w14:paraId="1ED4FEBE" w14:textId="77777777" w:rsidR="004C208F" w:rsidRDefault="004C208F" w:rsidP="004C208F">
      <w:pPr>
        <w:rPr>
          <w:rFonts w:ascii="Arial" w:hAnsi="Arial" w:cs="Arial"/>
          <w:sz w:val="26"/>
          <w:szCs w:val="26"/>
          <w:u w:color="262626"/>
        </w:rPr>
      </w:pPr>
      <w:r>
        <w:rPr>
          <w:rFonts w:ascii="Arial" w:hAnsi="Arial" w:cs="Arial"/>
          <w:sz w:val="26"/>
          <w:szCs w:val="26"/>
          <w:u w:color="262626"/>
        </w:rPr>
        <w:t>Our prospective data suggest that longer duration of use of nonaspirin NSAIDs may increase the risk of RCC</w:t>
      </w:r>
    </w:p>
    <w:p w14:paraId="6C3D8CF2" w14:textId="77777777" w:rsidR="004C208F" w:rsidRDefault="004C208F" w:rsidP="004C208F">
      <w:pPr>
        <w:rPr>
          <w:rFonts w:ascii="Arial" w:hAnsi="Arial" w:cs="Arial"/>
          <w:sz w:val="26"/>
          <w:szCs w:val="26"/>
          <w:u w:color="262626"/>
        </w:rPr>
      </w:pPr>
    </w:p>
    <w:p w14:paraId="10551C86" w14:textId="77777777" w:rsidR="004C208F" w:rsidRDefault="004C208F" w:rsidP="004C208F">
      <w:pPr>
        <w:rPr>
          <w:rFonts w:ascii="Arial" w:hAnsi="Arial" w:cs="Arial"/>
          <w:sz w:val="26"/>
          <w:szCs w:val="26"/>
          <w:u w:color="262626"/>
        </w:rPr>
      </w:pPr>
    </w:p>
    <w:p w14:paraId="2C33F6DB" w14:textId="77777777" w:rsidR="004C208F" w:rsidRDefault="004C208F" w:rsidP="004C208F">
      <w:pPr>
        <w:widowControl w:val="0"/>
        <w:autoSpaceDE w:val="0"/>
        <w:autoSpaceDN w:val="0"/>
        <w:adjustRightInd w:val="0"/>
        <w:rPr>
          <w:rFonts w:ascii="Arial" w:hAnsi="Arial" w:cs="Arial"/>
          <w:sz w:val="22"/>
          <w:szCs w:val="22"/>
          <w:u w:color="262626"/>
        </w:rPr>
      </w:pPr>
      <w:r>
        <w:rPr>
          <w:rFonts w:ascii="Arial" w:hAnsi="Arial" w:cs="Arial"/>
          <w:color w:val="262626"/>
          <w:sz w:val="22"/>
          <w:szCs w:val="22"/>
          <w:u w:val="single" w:color="262626"/>
        </w:rPr>
        <w:t>J Clin Oncol.</w:t>
      </w:r>
      <w:r>
        <w:rPr>
          <w:rFonts w:ascii="Arial" w:hAnsi="Arial" w:cs="Arial"/>
          <w:sz w:val="22"/>
          <w:szCs w:val="22"/>
          <w:u w:color="262626"/>
        </w:rPr>
        <w:t xml:space="preserve"> 2011 Jun 10;29(17):2424-31. doi: 10.1200/JCO.2011.34.6346. Epub 2011 May 9.</w:t>
      </w:r>
    </w:p>
    <w:p w14:paraId="6091EF8C" w14:textId="77777777" w:rsidR="004C208F" w:rsidRDefault="004C208F" w:rsidP="004C208F">
      <w:pPr>
        <w:widowControl w:val="0"/>
        <w:autoSpaceDE w:val="0"/>
        <w:autoSpaceDN w:val="0"/>
        <w:adjustRightInd w:val="0"/>
        <w:spacing w:after="120"/>
        <w:rPr>
          <w:rFonts w:ascii="Arial" w:hAnsi="Arial" w:cs="Arial"/>
          <w:b/>
          <w:bCs/>
          <w:sz w:val="32"/>
          <w:szCs w:val="32"/>
          <w:u w:color="262626"/>
        </w:rPr>
      </w:pPr>
      <w:r>
        <w:rPr>
          <w:rFonts w:ascii="Arial" w:hAnsi="Arial" w:cs="Arial"/>
          <w:b/>
          <w:bCs/>
          <w:sz w:val="32"/>
          <w:szCs w:val="32"/>
          <w:u w:color="262626"/>
        </w:rPr>
        <w:t>Long-term use of acetaminophen, aspirin, and other nonsteroidal anti-inflammatory drugs and risk of hematologic malignancies: results from the prospective Vitamins and Lifestyle (VITAL) study.</w:t>
      </w:r>
    </w:p>
    <w:p w14:paraId="599FAC58" w14:textId="77777777" w:rsidR="004C208F" w:rsidRDefault="00577FC7" w:rsidP="004C208F">
      <w:pPr>
        <w:widowControl w:val="0"/>
        <w:autoSpaceDE w:val="0"/>
        <w:autoSpaceDN w:val="0"/>
        <w:adjustRightInd w:val="0"/>
        <w:rPr>
          <w:rFonts w:ascii="Arial" w:hAnsi="Arial" w:cs="Arial"/>
          <w:u w:color="262626"/>
        </w:rPr>
      </w:pPr>
      <w:hyperlink r:id="rId32" w:history="1">
        <w:r w:rsidR="004C208F">
          <w:rPr>
            <w:rFonts w:ascii="Arial" w:hAnsi="Arial" w:cs="Arial"/>
            <w:color w:val="262626"/>
            <w:u w:val="single" w:color="262626"/>
          </w:rPr>
          <w:t>Walter RB</w:t>
        </w:r>
      </w:hyperlink>
      <w:r w:rsidR="004C208F">
        <w:rPr>
          <w:rFonts w:ascii="Arial" w:hAnsi="Arial" w:cs="Arial"/>
          <w:u w:color="262626"/>
        </w:rPr>
        <w:t xml:space="preserve">, </w:t>
      </w:r>
      <w:hyperlink r:id="rId33" w:history="1">
        <w:r w:rsidR="004C208F">
          <w:rPr>
            <w:rFonts w:ascii="Arial" w:hAnsi="Arial" w:cs="Arial"/>
            <w:color w:val="262626"/>
            <w:u w:val="single" w:color="262626"/>
          </w:rPr>
          <w:t>Milano F</w:t>
        </w:r>
      </w:hyperlink>
      <w:r w:rsidR="004C208F">
        <w:rPr>
          <w:rFonts w:ascii="Arial" w:hAnsi="Arial" w:cs="Arial"/>
          <w:u w:color="262626"/>
        </w:rPr>
        <w:t xml:space="preserve">, </w:t>
      </w:r>
      <w:hyperlink r:id="rId34" w:history="1">
        <w:r w:rsidR="004C208F">
          <w:rPr>
            <w:rFonts w:ascii="Arial" w:hAnsi="Arial" w:cs="Arial"/>
            <w:color w:val="262626"/>
            <w:u w:val="single" w:color="262626"/>
          </w:rPr>
          <w:t>Brasky TM</w:t>
        </w:r>
      </w:hyperlink>
      <w:r w:rsidR="004C208F">
        <w:rPr>
          <w:rFonts w:ascii="Arial" w:hAnsi="Arial" w:cs="Arial"/>
          <w:u w:color="262626"/>
        </w:rPr>
        <w:t xml:space="preserve">, </w:t>
      </w:r>
      <w:hyperlink r:id="rId35" w:history="1">
        <w:r w:rsidR="004C208F">
          <w:rPr>
            <w:rFonts w:ascii="Arial" w:hAnsi="Arial" w:cs="Arial"/>
            <w:color w:val="262626"/>
            <w:u w:val="single" w:color="262626"/>
          </w:rPr>
          <w:t>White E</w:t>
        </w:r>
      </w:hyperlink>
      <w:r w:rsidR="004C208F">
        <w:rPr>
          <w:rFonts w:ascii="Arial" w:hAnsi="Arial" w:cs="Arial"/>
          <w:u w:color="262626"/>
        </w:rPr>
        <w:t>.</w:t>
      </w:r>
    </w:p>
    <w:p w14:paraId="5DA387AE" w14:textId="77777777" w:rsidR="004C208F" w:rsidRDefault="004C208F" w:rsidP="004C208F">
      <w:pPr>
        <w:widowControl w:val="0"/>
        <w:autoSpaceDE w:val="0"/>
        <w:autoSpaceDN w:val="0"/>
        <w:adjustRightInd w:val="0"/>
        <w:spacing w:after="140"/>
        <w:rPr>
          <w:rFonts w:ascii="Arial" w:hAnsi="Arial" w:cs="Arial"/>
          <w:b/>
          <w:bCs/>
          <w:color w:val="5C321B"/>
          <w:u w:color="262626"/>
        </w:rPr>
      </w:pPr>
      <w:r>
        <w:rPr>
          <w:rFonts w:ascii="Arial" w:hAnsi="Arial" w:cs="Arial"/>
          <w:b/>
          <w:bCs/>
          <w:color w:val="5C321B"/>
          <w:u w:color="262626"/>
        </w:rPr>
        <w:t>Source</w:t>
      </w:r>
    </w:p>
    <w:p w14:paraId="659904A3" w14:textId="77777777" w:rsidR="004C208F" w:rsidRDefault="004C208F" w:rsidP="004C208F">
      <w:pPr>
        <w:widowControl w:val="0"/>
        <w:autoSpaceDE w:val="0"/>
        <w:autoSpaceDN w:val="0"/>
        <w:adjustRightInd w:val="0"/>
        <w:spacing w:after="100"/>
        <w:rPr>
          <w:rFonts w:ascii="Arial" w:hAnsi="Arial" w:cs="Arial"/>
          <w:sz w:val="22"/>
          <w:szCs w:val="22"/>
          <w:u w:color="262626"/>
        </w:rPr>
      </w:pPr>
      <w:r>
        <w:rPr>
          <w:rFonts w:ascii="Arial" w:hAnsi="Arial" w:cs="Arial"/>
          <w:sz w:val="22"/>
          <w:szCs w:val="22"/>
          <w:u w:color="262626"/>
        </w:rPr>
        <w:t>Clinical Research Division, Fred Hutchinson Cancer Research Center, 1100 Fairview Ave N., Seattle, WA 98109-1024, USA. rwalter@fhcrc.org</w:t>
      </w:r>
    </w:p>
    <w:p w14:paraId="3A53C6AB" w14:textId="77777777" w:rsidR="004C208F" w:rsidRDefault="004C208F" w:rsidP="004C208F">
      <w:pPr>
        <w:widowControl w:val="0"/>
        <w:autoSpaceDE w:val="0"/>
        <w:autoSpaceDN w:val="0"/>
        <w:adjustRightInd w:val="0"/>
        <w:rPr>
          <w:rFonts w:ascii="Arial" w:hAnsi="Arial" w:cs="Arial"/>
          <w:sz w:val="26"/>
          <w:szCs w:val="26"/>
          <w:u w:color="262626"/>
        </w:rPr>
      </w:pPr>
      <w:r>
        <w:rPr>
          <w:rFonts w:ascii="Arial" w:hAnsi="Arial" w:cs="Arial"/>
          <w:b/>
          <w:bCs/>
          <w:color w:val="824523"/>
          <w:sz w:val="28"/>
          <w:szCs w:val="28"/>
          <w:u w:color="262626"/>
        </w:rPr>
        <w:t>Abstract</w:t>
      </w:r>
    </w:p>
    <w:p w14:paraId="3AF965B7" w14:textId="77777777" w:rsidR="004C208F" w:rsidRDefault="004C208F" w:rsidP="004C208F">
      <w:pPr>
        <w:widowControl w:val="0"/>
        <w:autoSpaceDE w:val="0"/>
        <w:autoSpaceDN w:val="0"/>
        <w:adjustRightInd w:val="0"/>
        <w:ind w:right="60"/>
        <w:rPr>
          <w:rFonts w:ascii="Arial" w:hAnsi="Arial" w:cs="Arial"/>
          <w:b/>
          <w:bCs/>
          <w:sz w:val="26"/>
          <w:szCs w:val="26"/>
          <w:u w:color="262626"/>
        </w:rPr>
      </w:pPr>
      <w:r>
        <w:rPr>
          <w:rFonts w:ascii="Arial" w:hAnsi="Arial" w:cs="Arial"/>
          <w:b/>
          <w:bCs/>
          <w:sz w:val="26"/>
          <w:szCs w:val="26"/>
          <w:u w:color="262626"/>
        </w:rPr>
        <w:t>PURPOSE:</w:t>
      </w:r>
    </w:p>
    <w:p w14:paraId="0CBFDDEC" w14:textId="77777777" w:rsidR="004C208F" w:rsidRDefault="004C208F" w:rsidP="004C208F">
      <w:pPr>
        <w:widowControl w:val="0"/>
        <w:autoSpaceDE w:val="0"/>
        <w:autoSpaceDN w:val="0"/>
        <w:adjustRightInd w:val="0"/>
        <w:spacing w:after="120"/>
        <w:rPr>
          <w:rFonts w:ascii="Arial" w:hAnsi="Arial" w:cs="Arial"/>
          <w:sz w:val="26"/>
          <w:szCs w:val="26"/>
          <w:u w:color="262626"/>
        </w:rPr>
      </w:pPr>
      <w:r>
        <w:rPr>
          <w:rFonts w:ascii="Arial" w:hAnsi="Arial" w:cs="Arial"/>
          <w:sz w:val="26"/>
          <w:szCs w:val="26"/>
          <w:u w:color="262626"/>
        </w:rPr>
        <w:t>Among previous studies examining the associations of over-the-counter analgesics or nonsteroidal anti-inflammatory drugs (NSAIDs) and incident hematologic malignancies, results were inconsistent for NSAIDs but suggested an increased risk with acetaminophen (paracetamol). Herein, we used a large prospective cohort study to examine these associations.</w:t>
      </w:r>
    </w:p>
    <w:p w14:paraId="37B1624E" w14:textId="77777777" w:rsidR="004C208F" w:rsidRDefault="004C208F" w:rsidP="004C208F">
      <w:pPr>
        <w:widowControl w:val="0"/>
        <w:autoSpaceDE w:val="0"/>
        <w:autoSpaceDN w:val="0"/>
        <w:adjustRightInd w:val="0"/>
        <w:ind w:right="60"/>
        <w:rPr>
          <w:rFonts w:ascii="Arial" w:hAnsi="Arial" w:cs="Arial"/>
          <w:b/>
          <w:bCs/>
          <w:sz w:val="26"/>
          <w:szCs w:val="26"/>
          <w:u w:color="262626"/>
        </w:rPr>
      </w:pPr>
      <w:r>
        <w:rPr>
          <w:rFonts w:ascii="Arial" w:hAnsi="Arial" w:cs="Arial"/>
          <w:b/>
          <w:bCs/>
          <w:sz w:val="26"/>
          <w:szCs w:val="26"/>
          <w:u w:color="262626"/>
        </w:rPr>
        <w:t>PATIENTS AND METHODS:</w:t>
      </w:r>
    </w:p>
    <w:p w14:paraId="2B150D53" w14:textId="77777777" w:rsidR="004C208F" w:rsidRDefault="004C208F" w:rsidP="004C208F">
      <w:pPr>
        <w:widowControl w:val="0"/>
        <w:autoSpaceDE w:val="0"/>
        <w:autoSpaceDN w:val="0"/>
        <w:adjustRightInd w:val="0"/>
        <w:spacing w:after="120"/>
        <w:rPr>
          <w:rFonts w:ascii="Arial" w:hAnsi="Arial" w:cs="Arial"/>
          <w:sz w:val="26"/>
          <w:szCs w:val="26"/>
          <w:u w:color="262626"/>
        </w:rPr>
      </w:pPr>
      <w:r>
        <w:rPr>
          <w:rFonts w:ascii="Arial" w:hAnsi="Arial" w:cs="Arial"/>
          <w:sz w:val="26"/>
          <w:szCs w:val="26"/>
          <w:u w:color="262626"/>
        </w:rPr>
        <w:t>In total, 64,839 men and women age 50 to 76 years were recruited from 2000 to 2002 to the Vitamins and Lifestyle (VITAL) study. Incident hematologic malignancies (n = 577) were identified through December 2008 by linkage to the Surveillance, Epidemiology and End Results cancer registry. Hazard ratios (HRs) associated with use of analgesics for total incident hematologic malignancies and cancer subcategories were estimated by Cox proportional hazards models. Models were adjusted for age, sex, race/ethnicity, education, smoking, self-rated health, arthritis, chronic musculoskeletal pain, migraines, headaches, fatigue, and family history of leukemia/lymphoma.</w:t>
      </w:r>
    </w:p>
    <w:p w14:paraId="61ACEB76" w14:textId="77777777" w:rsidR="004C208F" w:rsidRDefault="004C208F" w:rsidP="004C208F">
      <w:pPr>
        <w:widowControl w:val="0"/>
        <w:autoSpaceDE w:val="0"/>
        <w:autoSpaceDN w:val="0"/>
        <w:adjustRightInd w:val="0"/>
        <w:ind w:right="60"/>
        <w:rPr>
          <w:rFonts w:ascii="Arial" w:hAnsi="Arial" w:cs="Arial"/>
          <w:b/>
          <w:bCs/>
          <w:sz w:val="26"/>
          <w:szCs w:val="26"/>
          <w:u w:color="262626"/>
        </w:rPr>
      </w:pPr>
      <w:r>
        <w:rPr>
          <w:rFonts w:ascii="Arial" w:hAnsi="Arial" w:cs="Arial"/>
          <w:b/>
          <w:bCs/>
          <w:sz w:val="26"/>
          <w:szCs w:val="26"/>
          <w:u w:color="262626"/>
        </w:rPr>
        <w:t>RESULTS:</w:t>
      </w:r>
    </w:p>
    <w:p w14:paraId="41D2048E" w14:textId="77777777" w:rsidR="004C208F" w:rsidRDefault="004C208F" w:rsidP="004C208F">
      <w:pPr>
        <w:widowControl w:val="0"/>
        <w:autoSpaceDE w:val="0"/>
        <w:autoSpaceDN w:val="0"/>
        <w:adjustRightInd w:val="0"/>
        <w:spacing w:after="120"/>
        <w:rPr>
          <w:rFonts w:ascii="Arial" w:hAnsi="Arial" w:cs="Arial"/>
          <w:sz w:val="26"/>
          <w:szCs w:val="26"/>
          <w:u w:color="262626"/>
        </w:rPr>
      </w:pPr>
      <w:r>
        <w:rPr>
          <w:rFonts w:ascii="Arial" w:hAnsi="Arial" w:cs="Arial"/>
          <w:sz w:val="26"/>
          <w:szCs w:val="26"/>
          <w:u w:color="262626"/>
        </w:rPr>
        <w:t>After adjustment, there was an increased risk of incident hematologic malignancies associated with high use (≥ 4 days/week for ≥ 4 years) of acetaminophen (HR, 1.84; 95% CI, 1.35 to 2.50 for high use; P trend = .004). This association was seen for myeloid neoplasms (HR, 2.26; 95% CI, 1.24 to 4.12), non-Hodgkin's lymphomas (HR, 1.81; 95% CI, 1.12 to 2.93), and plasma cell disorders (HR, 2.42; 95% CI, 1.08 to 5.41), but not chronic lymphocytic leukemia/small lymphocytic lymphoma (CLL/SLL; HR, 0.84; 95% CI, 0.31 to 2.28). By comparison, there was no association with risk of incident hematologic malignancies for increasing use of aspirin, nonaspirin NSAIDs, or ibuprofen.</w:t>
      </w:r>
    </w:p>
    <w:p w14:paraId="31058AA3" w14:textId="77777777" w:rsidR="004C208F" w:rsidRDefault="004C208F" w:rsidP="004C208F">
      <w:pPr>
        <w:widowControl w:val="0"/>
        <w:autoSpaceDE w:val="0"/>
        <w:autoSpaceDN w:val="0"/>
        <w:adjustRightInd w:val="0"/>
        <w:ind w:right="60"/>
        <w:rPr>
          <w:rFonts w:ascii="Arial" w:hAnsi="Arial" w:cs="Arial"/>
          <w:b/>
          <w:bCs/>
          <w:sz w:val="26"/>
          <w:szCs w:val="26"/>
          <w:u w:color="262626"/>
        </w:rPr>
      </w:pPr>
      <w:r>
        <w:rPr>
          <w:rFonts w:ascii="Arial" w:hAnsi="Arial" w:cs="Arial"/>
          <w:b/>
          <w:bCs/>
          <w:sz w:val="26"/>
          <w:szCs w:val="26"/>
          <w:u w:color="262626"/>
        </w:rPr>
        <w:t>CONCLUSION:</w:t>
      </w:r>
    </w:p>
    <w:p w14:paraId="3CA45AE5" w14:textId="77777777" w:rsidR="004C208F" w:rsidRDefault="004C208F" w:rsidP="004C208F">
      <w:pPr>
        <w:rPr>
          <w:rFonts w:ascii="Arial" w:hAnsi="Arial" w:cs="Arial"/>
          <w:sz w:val="26"/>
          <w:szCs w:val="26"/>
          <w:u w:color="262626"/>
        </w:rPr>
      </w:pPr>
      <w:r>
        <w:rPr>
          <w:rFonts w:ascii="Arial" w:hAnsi="Arial" w:cs="Arial"/>
          <w:sz w:val="26"/>
          <w:szCs w:val="26"/>
          <w:u w:color="262626"/>
        </w:rPr>
        <w:t>High use of acetaminophen was associated with an almost two-fold increased risk of incident hematologic malignancies other than CLL/SLL. Neither aspirin nor nonaspirin NSAIDs are likely useful for prevention of hematologic malignancies.</w:t>
      </w:r>
    </w:p>
    <w:p w14:paraId="083FC834" w14:textId="77777777" w:rsidR="004A411E" w:rsidRDefault="004A411E" w:rsidP="004C208F">
      <w:pPr>
        <w:rPr>
          <w:rFonts w:ascii="Arial" w:hAnsi="Arial" w:cs="Arial"/>
          <w:sz w:val="26"/>
          <w:szCs w:val="26"/>
          <w:u w:color="262626"/>
        </w:rPr>
      </w:pPr>
    </w:p>
    <w:p w14:paraId="11F03189" w14:textId="77777777" w:rsidR="004A411E" w:rsidRDefault="004A411E" w:rsidP="004C208F">
      <w:pPr>
        <w:rPr>
          <w:rFonts w:ascii="Arial" w:hAnsi="Arial" w:cs="Arial"/>
          <w:sz w:val="26"/>
          <w:szCs w:val="26"/>
          <w:u w:color="262626"/>
        </w:rPr>
      </w:pPr>
    </w:p>
    <w:p w14:paraId="46A9028D" w14:textId="77777777" w:rsidR="004A411E" w:rsidRDefault="004A411E" w:rsidP="004A411E">
      <w:pPr>
        <w:widowControl w:val="0"/>
        <w:autoSpaceDE w:val="0"/>
        <w:autoSpaceDN w:val="0"/>
        <w:adjustRightInd w:val="0"/>
        <w:rPr>
          <w:rFonts w:ascii="Arial" w:hAnsi="Arial" w:cs="Arial"/>
          <w:sz w:val="22"/>
          <w:szCs w:val="22"/>
          <w:u w:color="262626"/>
        </w:rPr>
      </w:pPr>
      <w:r>
        <w:rPr>
          <w:rFonts w:ascii="Arial" w:hAnsi="Arial" w:cs="Arial"/>
          <w:color w:val="262626"/>
          <w:sz w:val="22"/>
          <w:szCs w:val="22"/>
          <w:u w:val="single" w:color="262626"/>
        </w:rPr>
        <w:t xml:space="preserve">Natl </w:t>
      </w:r>
      <w:r>
        <w:rPr>
          <w:rFonts w:ascii="Arial" w:hAnsi="Arial" w:cs="Arial"/>
          <w:color w:val="262626"/>
          <w:sz w:val="22"/>
          <w:szCs w:val="22"/>
          <w:u w:color="262626"/>
        </w:rPr>
        <w:t>Cancer</w:t>
      </w:r>
      <w:r>
        <w:rPr>
          <w:rFonts w:ascii="Arial" w:hAnsi="Arial" w:cs="Arial"/>
          <w:color w:val="262626"/>
          <w:sz w:val="22"/>
          <w:szCs w:val="22"/>
          <w:u w:val="single" w:color="262626"/>
        </w:rPr>
        <w:t xml:space="preserve"> Inst Monogr.</w:t>
      </w:r>
      <w:r>
        <w:rPr>
          <w:rFonts w:ascii="Arial" w:hAnsi="Arial" w:cs="Arial"/>
          <w:sz w:val="22"/>
          <w:szCs w:val="22"/>
          <w:u w:color="262626"/>
        </w:rPr>
        <w:t xml:space="preserve"> 1985 Dec;69:217-22.</w:t>
      </w:r>
    </w:p>
    <w:p w14:paraId="5CD3B463" w14:textId="77777777" w:rsidR="004A411E" w:rsidRDefault="004A411E" w:rsidP="004A411E">
      <w:pPr>
        <w:widowControl w:val="0"/>
        <w:autoSpaceDE w:val="0"/>
        <w:autoSpaceDN w:val="0"/>
        <w:adjustRightInd w:val="0"/>
        <w:spacing w:after="120"/>
        <w:rPr>
          <w:rFonts w:ascii="Arial" w:hAnsi="Arial" w:cs="Arial"/>
          <w:b/>
          <w:bCs/>
          <w:sz w:val="32"/>
          <w:szCs w:val="32"/>
          <w:u w:color="262626"/>
        </w:rPr>
      </w:pPr>
      <w:r>
        <w:rPr>
          <w:rFonts w:ascii="Arial" w:hAnsi="Arial" w:cs="Arial"/>
          <w:b/>
          <w:bCs/>
          <w:sz w:val="32"/>
          <w:szCs w:val="32"/>
          <w:u w:color="262626"/>
        </w:rPr>
        <w:t>Relation of analgesic use to renal cancer: population-based findings.</w:t>
      </w:r>
    </w:p>
    <w:p w14:paraId="40BC19A6" w14:textId="77777777" w:rsidR="004A411E" w:rsidRDefault="00577FC7" w:rsidP="004A411E">
      <w:pPr>
        <w:widowControl w:val="0"/>
        <w:autoSpaceDE w:val="0"/>
        <w:autoSpaceDN w:val="0"/>
        <w:adjustRightInd w:val="0"/>
        <w:rPr>
          <w:rFonts w:ascii="Arial" w:hAnsi="Arial" w:cs="Arial"/>
          <w:u w:color="262626"/>
        </w:rPr>
      </w:pPr>
      <w:hyperlink r:id="rId36" w:history="1">
        <w:r w:rsidR="004A411E">
          <w:rPr>
            <w:rFonts w:ascii="Arial" w:hAnsi="Arial" w:cs="Arial"/>
            <w:color w:val="262626"/>
            <w:u w:val="single" w:color="262626"/>
          </w:rPr>
          <w:t>McLaughlin JK</w:t>
        </w:r>
      </w:hyperlink>
      <w:r w:rsidR="004A411E">
        <w:rPr>
          <w:rFonts w:ascii="Arial" w:hAnsi="Arial" w:cs="Arial"/>
          <w:u w:color="262626"/>
        </w:rPr>
        <w:t xml:space="preserve">, </w:t>
      </w:r>
      <w:hyperlink r:id="rId37" w:history="1">
        <w:r w:rsidR="004A411E">
          <w:rPr>
            <w:rFonts w:ascii="Arial" w:hAnsi="Arial" w:cs="Arial"/>
            <w:color w:val="262626"/>
            <w:u w:val="single" w:color="262626"/>
          </w:rPr>
          <w:t>Blot WJ</w:t>
        </w:r>
      </w:hyperlink>
      <w:r w:rsidR="004A411E">
        <w:rPr>
          <w:rFonts w:ascii="Arial" w:hAnsi="Arial" w:cs="Arial"/>
          <w:u w:color="262626"/>
        </w:rPr>
        <w:t xml:space="preserve">, </w:t>
      </w:r>
      <w:hyperlink r:id="rId38" w:history="1">
        <w:r w:rsidR="004A411E">
          <w:rPr>
            <w:rFonts w:ascii="Arial" w:hAnsi="Arial" w:cs="Arial"/>
            <w:color w:val="262626"/>
            <w:u w:val="single" w:color="262626"/>
          </w:rPr>
          <w:t>Mehl ES</w:t>
        </w:r>
      </w:hyperlink>
      <w:r w:rsidR="004A411E">
        <w:rPr>
          <w:rFonts w:ascii="Arial" w:hAnsi="Arial" w:cs="Arial"/>
          <w:u w:color="262626"/>
        </w:rPr>
        <w:t xml:space="preserve">, </w:t>
      </w:r>
      <w:hyperlink r:id="rId39" w:history="1">
        <w:r w:rsidR="004A411E">
          <w:rPr>
            <w:rFonts w:ascii="Arial" w:hAnsi="Arial" w:cs="Arial"/>
            <w:color w:val="262626"/>
            <w:u w:val="single" w:color="262626"/>
          </w:rPr>
          <w:t>Fraumeni JF Jr</w:t>
        </w:r>
      </w:hyperlink>
      <w:r w:rsidR="004A411E">
        <w:rPr>
          <w:rFonts w:ascii="Arial" w:hAnsi="Arial" w:cs="Arial"/>
          <w:u w:color="262626"/>
        </w:rPr>
        <w:t>.</w:t>
      </w:r>
    </w:p>
    <w:p w14:paraId="0B30CD6D" w14:textId="77777777" w:rsidR="004A411E" w:rsidRDefault="004A411E" w:rsidP="004A411E">
      <w:pPr>
        <w:widowControl w:val="0"/>
        <w:autoSpaceDE w:val="0"/>
        <w:autoSpaceDN w:val="0"/>
        <w:adjustRightInd w:val="0"/>
        <w:rPr>
          <w:rFonts w:ascii="Arial" w:hAnsi="Arial" w:cs="Arial"/>
          <w:sz w:val="26"/>
          <w:szCs w:val="26"/>
          <w:u w:color="262626"/>
        </w:rPr>
      </w:pPr>
      <w:r>
        <w:rPr>
          <w:rFonts w:ascii="Arial" w:hAnsi="Arial" w:cs="Arial"/>
          <w:b/>
          <w:bCs/>
          <w:color w:val="824523"/>
          <w:sz w:val="28"/>
          <w:szCs w:val="28"/>
          <w:u w:color="262626"/>
        </w:rPr>
        <w:t>Abstract</w:t>
      </w:r>
    </w:p>
    <w:p w14:paraId="6A457316" w14:textId="77777777" w:rsidR="004A411E" w:rsidRDefault="004A411E" w:rsidP="004A411E">
      <w:pPr>
        <w:rPr>
          <w:rFonts w:ascii="Arial" w:hAnsi="Arial" w:cs="Arial"/>
          <w:sz w:val="26"/>
          <w:szCs w:val="26"/>
          <w:u w:color="262626"/>
        </w:rPr>
      </w:pPr>
      <w:r>
        <w:rPr>
          <w:rFonts w:ascii="Arial" w:hAnsi="Arial" w:cs="Arial"/>
          <w:sz w:val="26"/>
          <w:szCs w:val="26"/>
          <w:u w:color="262626"/>
        </w:rPr>
        <w:t>A population-based case-control study of renal cancer (495 cases of renal cell cancer, 74 cases of renal pelvis cancer, and 697 controls) was conducted in the Minneapolis-St. Paul 7-county metropolitan area. Information was obtained on a large number of variables, including the use of analgesic drugs. Long-term use (greater than 36 mo) of phenacetin-containing products was associated in both sexes with a twofold increased risk for renal cell cancer. Long-term use of phenacetin- and acetaminophen-containing products was associated with elevated risks of nearly threefold to eightfold for cancer of the renal pelvis. The separate effects of these analgesics could not be adequately assessed because most long-term users took both products.</w:t>
      </w:r>
    </w:p>
    <w:p w14:paraId="055CFE71" w14:textId="77777777" w:rsidR="004A411E" w:rsidRDefault="004A411E" w:rsidP="004A411E">
      <w:pPr>
        <w:rPr>
          <w:rFonts w:ascii="Arial" w:hAnsi="Arial" w:cs="Arial"/>
          <w:sz w:val="26"/>
          <w:szCs w:val="26"/>
          <w:u w:color="262626"/>
        </w:rPr>
      </w:pPr>
    </w:p>
    <w:p w14:paraId="5B99FAA8" w14:textId="77777777" w:rsidR="004A411E" w:rsidRDefault="004A411E" w:rsidP="004A411E">
      <w:pPr>
        <w:rPr>
          <w:rFonts w:ascii="Arial" w:hAnsi="Arial" w:cs="Arial"/>
          <w:sz w:val="26"/>
          <w:szCs w:val="26"/>
          <w:u w:color="262626"/>
        </w:rPr>
      </w:pPr>
    </w:p>
    <w:p w14:paraId="3D31F56B" w14:textId="77777777" w:rsidR="004A411E" w:rsidRDefault="004A411E" w:rsidP="004A411E">
      <w:pPr>
        <w:widowControl w:val="0"/>
        <w:autoSpaceDE w:val="0"/>
        <w:autoSpaceDN w:val="0"/>
        <w:adjustRightInd w:val="0"/>
        <w:rPr>
          <w:rFonts w:ascii="Arial" w:hAnsi="Arial" w:cs="Arial"/>
          <w:sz w:val="22"/>
          <w:szCs w:val="22"/>
          <w:u w:color="262626"/>
        </w:rPr>
      </w:pPr>
      <w:r>
        <w:rPr>
          <w:rFonts w:ascii="Arial" w:hAnsi="Arial" w:cs="Arial"/>
          <w:color w:val="262626"/>
          <w:sz w:val="22"/>
          <w:szCs w:val="22"/>
          <w:u w:val="single" w:color="262626"/>
        </w:rPr>
        <w:t xml:space="preserve">Int J </w:t>
      </w:r>
      <w:r>
        <w:rPr>
          <w:rFonts w:ascii="Arial" w:hAnsi="Arial" w:cs="Arial"/>
          <w:color w:val="262626"/>
          <w:sz w:val="22"/>
          <w:szCs w:val="22"/>
          <w:u w:color="262626"/>
        </w:rPr>
        <w:t>Cancer</w:t>
      </w:r>
      <w:r>
        <w:rPr>
          <w:rFonts w:ascii="Arial" w:hAnsi="Arial" w:cs="Arial"/>
          <w:color w:val="262626"/>
          <w:sz w:val="22"/>
          <w:szCs w:val="22"/>
          <w:u w:val="single" w:color="262626"/>
        </w:rPr>
        <w:t>.</w:t>
      </w:r>
      <w:r>
        <w:rPr>
          <w:rFonts w:ascii="Arial" w:hAnsi="Arial" w:cs="Arial"/>
          <w:sz w:val="22"/>
          <w:szCs w:val="22"/>
          <w:u w:color="262626"/>
        </w:rPr>
        <w:t xml:space="preserve"> 1993 Jan 21;53(2):245-9.</w:t>
      </w:r>
    </w:p>
    <w:p w14:paraId="40A0E369" w14:textId="77777777" w:rsidR="004A411E" w:rsidRDefault="004A411E" w:rsidP="004A411E">
      <w:pPr>
        <w:widowControl w:val="0"/>
        <w:autoSpaceDE w:val="0"/>
        <w:autoSpaceDN w:val="0"/>
        <w:adjustRightInd w:val="0"/>
        <w:spacing w:after="120"/>
        <w:rPr>
          <w:rFonts w:ascii="Arial" w:hAnsi="Arial" w:cs="Arial"/>
          <w:b/>
          <w:bCs/>
          <w:sz w:val="32"/>
          <w:szCs w:val="32"/>
          <w:u w:color="262626"/>
        </w:rPr>
      </w:pPr>
      <w:r>
        <w:rPr>
          <w:rFonts w:ascii="Arial" w:hAnsi="Arial" w:cs="Arial"/>
          <w:b/>
          <w:bCs/>
          <w:sz w:val="32"/>
          <w:szCs w:val="32"/>
          <w:u w:color="262626"/>
        </w:rPr>
        <w:t>Different roles for phenacetin and paracetamol in cancer of the kidney and renal pelvis.</w:t>
      </w:r>
    </w:p>
    <w:p w14:paraId="77410F4E" w14:textId="77777777" w:rsidR="004A411E" w:rsidRDefault="00577FC7" w:rsidP="004A411E">
      <w:pPr>
        <w:widowControl w:val="0"/>
        <w:autoSpaceDE w:val="0"/>
        <w:autoSpaceDN w:val="0"/>
        <w:adjustRightInd w:val="0"/>
        <w:rPr>
          <w:rFonts w:ascii="Arial" w:hAnsi="Arial" w:cs="Arial"/>
          <w:u w:color="262626"/>
        </w:rPr>
      </w:pPr>
      <w:hyperlink r:id="rId40" w:history="1">
        <w:r w:rsidR="004A411E">
          <w:rPr>
            <w:rFonts w:ascii="Arial" w:hAnsi="Arial" w:cs="Arial"/>
            <w:color w:val="262626"/>
            <w:u w:val="single" w:color="262626"/>
          </w:rPr>
          <w:t>McCredie M</w:t>
        </w:r>
      </w:hyperlink>
      <w:r w:rsidR="004A411E">
        <w:rPr>
          <w:rFonts w:ascii="Arial" w:hAnsi="Arial" w:cs="Arial"/>
          <w:u w:color="262626"/>
        </w:rPr>
        <w:t xml:space="preserve">, </w:t>
      </w:r>
      <w:hyperlink r:id="rId41" w:history="1">
        <w:r w:rsidR="004A411E">
          <w:rPr>
            <w:rFonts w:ascii="Arial" w:hAnsi="Arial" w:cs="Arial"/>
            <w:color w:val="262626"/>
            <w:u w:val="single" w:color="262626"/>
          </w:rPr>
          <w:t>Stewart JH</w:t>
        </w:r>
      </w:hyperlink>
      <w:r w:rsidR="004A411E">
        <w:rPr>
          <w:rFonts w:ascii="Arial" w:hAnsi="Arial" w:cs="Arial"/>
          <w:u w:color="262626"/>
        </w:rPr>
        <w:t xml:space="preserve">, </w:t>
      </w:r>
      <w:hyperlink r:id="rId42" w:history="1">
        <w:r w:rsidR="004A411E">
          <w:rPr>
            <w:rFonts w:ascii="Arial" w:hAnsi="Arial" w:cs="Arial"/>
            <w:color w:val="262626"/>
            <w:u w:val="single" w:color="262626"/>
          </w:rPr>
          <w:t>Day NE</w:t>
        </w:r>
      </w:hyperlink>
      <w:r w:rsidR="004A411E">
        <w:rPr>
          <w:rFonts w:ascii="Arial" w:hAnsi="Arial" w:cs="Arial"/>
          <w:u w:color="262626"/>
        </w:rPr>
        <w:t>.</w:t>
      </w:r>
    </w:p>
    <w:p w14:paraId="15F50D36" w14:textId="77777777" w:rsidR="004A411E" w:rsidRDefault="004A411E" w:rsidP="004A411E">
      <w:pPr>
        <w:widowControl w:val="0"/>
        <w:autoSpaceDE w:val="0"/>
        <w:autoSpaceDN w:val="0"/>
        <w:adjustRightInd w:val="0"/>
        <w:spacing w:after="140"/>
        <w:rPr>
          <w:rFonts w:ascii="Arial" w:hAnsi="Arial" w:cs="Arial"/>
          <w:b/>
          <w:bCs/>
          <w:color w:val="5C321B"/>
          <w:u w:color="262626"/>
        </w:rPr>
      </w:pPr>
      <w:r>
        <w:rPr>
          <w:rFonts w:ascii="Arial" w:hAnsi="Arial" w:cs="Arial"/>
          <w:b/>
          <w:bCs/>
          <w:color w:val="5C321B"/>
          <w:u w:color="262626"/>
        </w:rPr>
        <w:t>Source</w:t>
      </w:r>
    </w:p>
    <w:p w14:paraId="75089D6A" w14:textId="77777777" w:rsidR="004A411E" w:rsidRDefault="004A411E" w:rsidP="004A411E">
      <w:pPr>
        <w:widowControl w:val="0"/>
        <w:autoSpaceDE w:val="0"/>
        <w:autoSpaceDN w:val="0"/>
        <w:adjustRightInd w:val="0"/>
        <w:spacing w:after="100"/>
        <w:rPr>
          <w:rFonts w:ascii="Arial" w:hAnsi="Arial" w:cs="Arial"/>
          <w:sz w:val="22"/>
          <w:szCs w:val="22"/>
          <w:u w:color="262626"/>
        </w:rPr>
      </w:pPr>
      <w:r>
        <w:rPr>
          <w:rFonts w:ascii="Arial" w:hAnsi="Arial" w:cs="Arial"/>
          <w:sz w:val="22"/>
          <w:szCs w:val="22"/>
          <w:u w:color="262626"/>
        </w:rPr>
        <w:t>Cancer Epidemiology Research Unit, NSW Cancer Council, Sydney, Australia.</w:t>
      </w:r>
    </w:p>
    <w:p w14:paraId="668BF2AD" w14:textId="77777777" w:rsidR="004A411E" w:rsidRDefault="004A411E" w:rsidP="004A411E">
      <w:pPr>
        <w:widowControl w:val="0"/>
        <w:autoSpaceDE w:val="0"/>
        <w:autoSpaceDN w:val="0"/>
        <w:adjustRightInd w:val="0"/>
        <w:rPr>
          <w:rFonts w:ascii="Arial" w:hAnsi="Arial" w:cs="Arial"/>
          <w:sz w:val="26"/>
          <w:szCs w:val="26"/>
          <w:u w:color="262626"/>
        </w:rPr>
      </w:pPr>
      <w:r>
        <w:rPr>
          <w:rFonts w:ascii="Arial" w:hAnsi="Arial" w:cs="Arial"/>
          <w:b/>
          <w:bCs/>
          <w:color w:val="824523"/>
          <w:sz w:val="28"/>
          <w:szCs w:val="28"/>
          <w:u w:color="262626"/>
        </w:rPr>
        <w:t>Abstract</w:t>
      </w:r>
    </w:p>
    <w:p w14:paraId="21E9CAC4" w14:textId="77777777" w:rsidR="004A411E" w:rsidRDefault="004A411E" w:rsidP="004A411E">
      <w:pPr>
        <w:rPr>
          <w:rFonts w:ascii="Arial" w:hAnsi="Arial" w:cs="Arial"/>
          <w:sz w:val="26"/>
          <w:szCs w:val="26"/>
          <w:u w:color="262626"/>
        </w:rPr>
      </w:pPr>
      <w:r>
        <w:rPr>
          <w:rFonts w:ascii="Arial" w:hAnsi="Arial" w:cs="Arial"/>
          <w:sz w:val="26"/>
          <w:szCs w:val="26"/>
          <w:u w:color="262626"/>
        </w:rPr>
        <w:t>A population-based case-control study of kidney cancer was carried out in New South Wales using data from structured interviews with 489 cases of renal-cell cancer and 147 cases of renal pelvic cancer diagnosed in 1989 and 1990, together with 523 controls from the electoral rolls. This study showed that the risk of renal pelvic cancer was increased by phenacetin/aspirin compound analgesics (RR = 12.2; 95% CI 6.8-22.2) to a far greater extent than by paracetamol (RR = 1.3; 95% CI 0.7-2.4; not significant). There was a doubling of risk (RR = 2.0; 95% CI 0.9-4.4) in the highest tertile of paracetamol taken in any form compared with values for non-users of any type of analgesic. By contrast, the risk of renal-cell cancer appeared to be increased to a similar degree by phenacetin/aspirin compound analgesics (RR = 1.4; 95% CI 0.9-2.3) and paracetamol taken in any form (RR = 1.5; 95% CI 1.0-2.3). When both drugs were treated as alternative forms of the same risk factor, the risk was increased by 1.7 (95% CI 1.2-2.4). On this evidence, we postulate that phenacetin/aspirin compounds are weakly carcinogenic in the renal parenchyma through the metabolic conversion of phenacetin to paracetamol, and potently carcinogenic in the renal pelvis by different or additional pathways involving renal papillary necrosis. In addition, there is an indication of a weak link between paracetamol and renal pelvic cancer.</w:t>
      </w:r>
    </w:p>
    <w:p w14:paraId="2114749B" w14:textId="77777777" w:rsidR="00F416A1" w:rsidRDefault="00F416A1" w:rsidP="004A411E">
      <w:pPr>
        <w:rPr>
          <w:rFonts w:ascii="Arial" w:hAnsi="Arial" w:cs="Arial"/>
          <w:sz w:val="26"/>
          <w:szCs w:val="26"/>
          <w:u w:color="262626"/>
        </w:rPr>
      </w:pPr>
    </w:p>
    <w:p w14:paraId="28CA2904" w14:textId="77777777" w:rsidR="00F416A1" w:rsidRDefault="00F416A1" w:rsidP="004A411E"/>
    <w:sectPr w:rsidR="00F416A1" w:rsidSect="004E1022">
      <w:pgSz w:w="11900" w:h="16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F4590D"/>
    <w:multiLevelType w:val="hybridMultilevel"/>
    <w:tmpl w:val="3E107C7E"/>
    <w:lvl w:ilvl="0" w:tplc="66BA73C8">
      <w:start w:val="1"/>
      <w:numFmt w:val="bullet"/>
      <w:lvlText w:val=""/>
      <w:lvlJc w:val="left"/>
      <w:pPr>
        <w:tabs>
          <w:tab w:val="num" w:pos="720"/>
        </w:tabs>
        <w:ind w:left="720" w:hanging="360"/>
      </w:pPr>
      <w:rPr>
        <w:rFonts w:ascii="Wingdings 3" w:hAnsi="Wingdings 3" w:hint="default"/>
      </w:rPr>
    </w:lvl>
    <w:lvl w:ilvl="1" w:tplc="2CE6EE0A" w:tentative="1">
      <w:start w:val="1"/>
      <w:numFmt w:val="bullet"/>
      <w:lvlText w:val=""/>
      <w:lvlJc w:val="left"/>
      <w:pPr>
        <w:tabs>
          <w:tab w:val="num" w:pos="1440"/>
        </w:tabs>
        <w:ind w:left="1440" w:hanging="360"/>
      </w:pPr>
      <w:rPr>
        <w:rFonts w:ascii="Wingdings 3" w:hAnsi="Wingdings 3" w:hint="default"/>
      </w:rPr>
    </w:lvl>
    <w:lvl w:ilvl="2" w:tplc="786AF3CC" w:tentative="1">
      <w:start w:val="1"/>
      <w:numFmt w:val="bullet"/>
      <w:lvlText w:val=""/>
      <w:lvlJc w:val="left"/>
      <w:pPr>
        <w:tabs>
          <w:tab w:val="num" w:pos="2160"/>
        </w:tabs>
        <w:ind w:left="2160" w:hanging="360"/>
      </w:pPr>
      <w:rPr>
        <w:rFonts w:ascii="Wingdings 3" w:hAnsi="Wingdings 3" w:hint="default"/>
      </w:rPr>
    </w:lvl>
    <w:lvl w:ilvl="3" w:tplc="6BDA1DD2" w:tentative="1">
      <w:start w:val="1"/>
      <w:numFmt w:val="bullet"/>
      <w:lvlText w:val=""/>
      <w:lvlJc w:val="left"/>
      <w:pPr>
        <w:tabs>
          <w:tab w:val="num" w:pos="2880"/>
        </w:tabs>
        <w:ind w:left="2880" w:hanging="360"/>
      </w:pPr>
      <w:rPr>
        <w:rFonts w:ascii="Wingdings 3" w:hAnsi="Wingdings 3" w:hint="default"/>
      </w:rPr>
    </w:lvl>
    <w:lvl w:ilvl="4" w:tplc="602A9F2A" w:tentative="1">
      <w:start w:val="1"/>
      <w:numFmt w:val="bullet"/>
      <w:lvlText w:val=""/>
      <w:lvlJc w:val="left"/>
      <w:pPr>
        <w:tabs>
          <w:tab w:val="num" w:pos="3600"/>
        </w:tabs>
        <w:ind w:left="3600" w:hanging="360"/>
      </w:pPr>
      <w:rPr>
        <w:rFonts w:ascii="Wingdings 3" w:hAnsi="Wingdings 3" w:hint="default"/>
      </w:rPr>
    </w:lvl>
    <w:lvl w:ilvl="5" w:tplc="87B4AD7A" w:tentative="1">
      <w:start w:val="1"/>
      <w:numFmt w:val="bullet"/>
      <w:lvlText w:val=""/>
      <w:lvlJc w:val="left"/>
      <w:pPr>
        <w:tabs>
          <w:tab w:val="num" w:pos="4320"/>
        </w:tabs>
        <w:ind w:left="4320" w:hanging="360"/>
      </w:pPr>
      <w:rPr>
        <w:rFonts w:ascii="Wingdings 3" w:hAnsi="Wingdings 3" w:hint="default"/>
      </w:rPr>
    </w:lvl>
    <w:lvl w:ilvl="6" w:tplc="BCCC9180" w:tentative="1">
      <w:start w:val="1"/>
      <w:numFmt w:val="bullet"/>
      <w:lvlText w:val=""/>
      <w:lvlJc w:val="left"/>
      <w:pPr>
        <w:tabs>
          <w:tab w:val="num" w:pos="5040"/>
        </w:tabs>
        <w:ind w:left="5040" w:hanging="360"/>
      </w:pPr>
      <w:rPr>
        <w:rFonts w:ascii="Wingdings 3" w:hAnsi="Wingdings 3" w:hint="default"/>
      </w:rPr>
    </w:lvl>
    <w:lvl w:ilvl="7" w:tplc="7D521AF8" w:tentative="1">
      <w:start w:val="1"/>
      <w:numFmt w:val="bullet"/>
      <w:lvlText w:val=""/>
      <w:lvlJc w:val="left"/>
      <w:pPr>
        <w:tabs>
          <w:tab w:val="num" w:pos="5760"/>
        </w:tabs>
        <w:ind w:left="5760" w:hanging="360"/>
      </w:pPr>
      <w:rPr>
        <w:rFonts w:ascii="Wingdings 3" w:hAnsi="Wingdings 3" w:hint="default"/>
      </w:rPr>
    </w:lvl>
    <w:lvl w:ilvl="8" w:tplc="EC1C8FAA" w:tentative="1">
      <w:start w:val="1"/>
      <w:numFmt w:val="bullet"/>
      <w:lvlText w:val=""/>
      <w:lvlJc w:val="left"/>
      <w:pPr>
        <w:tabs>
          <w:tab w:val="num" w:pos="6480"/>
        </w:tabs>
        <w:ind w:left="6480" w:hanging="360"/>
      </w:pPr>
      <w:rPr>
        <w:rFonts w:ascii="Wingdings 3" w:hAnsi="Wingdings 3"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2C8"/>
    <w:rsid w:val="002A1634"/>
    <w:rsid w:val="002C32C8"/>
    <w:rsid w:val="004A411E"/>
    <w:rsid w:val="004B32FE"/>
    <w:rsid w:val="004C208F"/>
    <w:rsid w:val="004E1022"/>
    <w:rsid w:val="00DC70E1"/>
    <w:rsid w:val="00F416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4335E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32C8"/>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C32C8"/>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4B32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32F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32C8"/>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C32C8"/>
    <w:pPr>
      <w:ind w:left="720"/>
      <w:contextualSpacing/>
    </w:pPr>
    <w:rPr>
      <w:rFonts w:ascii="Times" w:hAnsi="Times"/>
      <w:sz w:val="20"/>
      <w:szCs w:val="20"/>
    </w:rPr>
  </w:style>
  <w:style w:type="paragraph" w:styleId="BalloonText">
    <w:name w:val="Balloon Text"/>
    <w:basedOn w:val="Normal"/>
    <w:link w:val="BalloonTextChar"/>
    <w:uiPriority w:val="99"/>
    <w:semiHidden/>
    <w:unhideWhenUsed/>
    <w:rsid w:val="004B32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32F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emf"/><Relationship Id="rId21" Type="http://schemas.openxmlformats.org/officeDocument/2006/relationships/hyperlink" Target="http://www.ncbi.nlm.nih.gov/pubmed?term=Rannug%20U%5BAuthor%5D&amp;cauthor=true&amp;cauthor_uid=7870087" TargetMode="External"/><Relationship Id="rId22" Type="http://schemas.openxmlformats.org/officeDocument/2006/relationships/hyperlink" Target="http://www.ncbi.nlm.nih.gov/pubmed?term=Holme%20JA%5BAuthor%5D&amp;cauthor=true&amp;cauthor_uid=7870087" TargetMode="External"/><Relationship Id="rId23" Type="http://schemas.openxmlformats.org/officeDocument/2006/relationships/hyperlink" Target="http://www.ncbi.nlm.nih.gov/pubmed?term=Hongslo%20JK%5BAuthor%5D&amp;cauthor=true&amp;cauthor_uid=7870087" TargetMode="External"/><Relationship Id="rId24" Type="http://schemas.openxmlformats.org/officeDocument/2006/relationships/hyperlink" Target="http://www.ncbi.nlm.nih.gov/pubmed?term=Sr%C3%A1m%20R%5BAuthor%5D&amp;cauthor=true&amp;cauthor_uid=7870087" TargetMode="External"/><Relationship Id="rId25" Type="http://schemas.openxmlformats.org/officeDocument/2006/relationships/hyperlink" Target="http://www.ncbi.nlm.nih.gov/pubmed?term=Cho%20E%5BAuthor%5D&amp;cauthor=true&amp;cauthor_uid=21911634" TargetMode="External"/><Relationship Id="rId26" Type="http://schemas.openxmlformats.org/officeDocument/2006/relationships/hyperlink" Target="http://www.ncbi.nlm.nih.gov/pubmed?term=Curhan%20G%5BAuthor%5D&amp;cauthor=true&amp;cauthor_uid=21911634" TargetMode="External"/><Relationship Id="rId27" Type="http://schemas.openxmlformats.org/officeDocument/2006/relationships/hyperlink" Target="http://www.ncbi.nlm.nih.gov/pubmed?term=Hankinson%20SE%5BAuthor%5D&amp;cauthor=true&amp;cauthor_uid=21911634" TargetMode="External"/><Relationship Id="rId28" Type="http://schemas.openxmlformats.org/officeDocument/2006/relationships/hyperlink" Target="http://www.ncbi.nlm.nih.gov/pubmed?term=Kantoff%20P%5BAuthor%5D&amp;cauthor=true&amp;cauthor_uid=21911634" TargetMode="External"/><Relationship Id="rId29" Type="http://schemas.openxmlformats.org/officeDocument/2006/relationships/hyperlink" Target="http://www.ncbi.nlm.nih.gov/pubmed?term=Atkins%20MB%5BAuthor%5D&amp;cauthor=true&amp;cauthor_uid=21911634"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ncbi.nlm.nih.gov/pubmed?term=Stampfer%20M%5BAuthor%5D&amp;cauthor=true&amp;cauthor_uid=21911634" TargetMode="External"/><Relationship Id="rId31" Type="http://schemas.openxmlformats.org/officeDocument/2006/relationships/hyperlink" Target="http://www.ncbi.nlm.nih.gov/pubmed?term=Choueiri%20TK%5BAuthor%5D&amp;cauthor=true&amp;cauthor_uid=21911634" TargetMode="External"/><Relationship Id="rId32" Type="http://schemas.openxmlformats.org/officeDocument/2006/relationships/hyperlink" Target="http://www.ncbi.nlm.nih.gov/pubmed?term=Walter%20RB%5BAuthor%5D&amp;cauthor=true&amp;cauthor_uid=21555699" TargetMode="External"/><Relationship Id="rId9" Type="http://schemas.openxmlformats.org/officeDocument/2006/relationships/image" Target="media/image4.emf"/><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 Id="rId33" Type="http://schemas.openxmlformats.org/officeDocument/2006/relationships/hyperlink" Target="http://www.ncbi.nlm.nih.gov/pubmed?term=Milano%20F%5BAuthor%5D&amp;cauthor=true&amp;cauthor_uid=21555699" TargetMode="External"/><Relationship Id="rId34" Type="http://schemas.openxmlformats.org/officeDocument/2006/relationships/hyperlink" Target="http://www.ncbi.nlm.nih.gov/pubmed?term=Brasky%20TM%5BAuthor%5D&amp;cauthor=true&amp;cauthor_uid=21555699" TargetMode="External"/><Relationship Id="rId35" Type="http://schemas.openxmlformats.org/officeDocument/2006/relationships/hyperlink" Target="http://www.ncbi.nlm.nih.gov/pubmed?term=White%20E%5BAuthor%5D&amp;cauthor=true&amp;cauthor_uid=21555699" TargetMode="External"/><Relationship Id="rId36" Type="http://schemas.openxmlformats.org/officeDocument/2006/relationships/hyperlink" Target="http://www.ncbi.nlm.nih.gov/pubmed?term=McLaughlin%20JK%5BAuthor%5D&amp;cauthor=true&amp;cauthor_uid=3834336" TargetMode="External"/><Relationship Id="rId10" Type="http://schemas.openxmlformats.org/officeDocument/2006/relationships/image" Target="media/image5.emf"/><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image" Target="media/image12.emf"/><Relationship Id="rId18" Type="http://schemas.openxmlformats.org/officeDocument/2006/relationships/image" Target="media/image13.emf"/><Relationship Id="rId19" Type="http://schemas.openxmlformats.org/officeDocument/2006/relationships/image" Target="media/image14.emf"/><Relationship Id="rId37" Type="http://schemas.openxmlformats.org/officeDocument/2006/relationships/hyperlink" Target="http://www.ncbi.nlm.nih.gov/pubmed?term=Blot%20WJ%5BAuthor%5D&amp;cauthor=true&amp;cauthor_uid=3834336" TargetMode="External"/><Relationship Id="rId38" Type="http://schemas.openxmlformats.org/officeDocument/2006/relationships/hyperlink" Target="http://www.ncbi.nlm.nih.gov/pubmed?term=Mehl%20ES%5BAuthor%5D&amp;cauthor=true&amp;cauthor_uid=3834336" TargetMode="External"/><Relationship Id="rId39" Type="http://schemas.openxmlformats.org/officeDocument/2006/relationships/hyperlink" Target="http://www.ncbi.nlm.nih.gov/pubmed?term=Fraumeni%20JF%20Jr%5BAuthor%5D&amp;cauthor=true&amp;cauthor_uid=3834336" TargetMode="External"/><Relationship Id="rId40" Type="http://schemas.openxmlformats.org/officeDocument/2006/relationships/hyperlink" Target="http://www.ncbi.nlm.nih.gov/pubmed?term=McCredie%20M%5BAuthor%5D&amp;cauthor=true&amp;cauthor_uid=8425761" TargetMode="External"/><Relationship Id="rId41" Type="http://schemas.openxmlformats.org/officeDocument/2006/relationships/hyperlink" Target="http://www.ncbi.nlm.nih.gov/pubmed?term=Stewart%20JH%5BAuthor%5D&amp;cauthor=true&amp;cauthor_uid=8425761" TargetMode="External"/><Relationship Id="rId42" Type="http://schemas.openxmlformats.org/officeDocument/2006/relationships/hyperlink" Target="http://www.ncbi.nlm.nih.gov/pubmed?term=Day%20NE%5BAuthor%5D&amp;cauthor=true&amp;cauthor_uid=8425761" TargetMode="Externa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1742</Words>
  <Characters>9931</Characters>
  <Application>Microsoft Macintosh Word</Application>
  <DocSecurity>0</DocSecurity>
  <Lines>82</Lines>
  <Paragraphs>23</Paragraphs>
  <ScaleCrop>false</ScaleCrop>
  <Company/>
  <LinksUpToDate>false</LinksUpToDate>
  <CharactersWithSpaces>11650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Cankat Tulunay</dc:creator>
  <cp:keywords/>
  <dc:description/>
  <cp:lastModifiedBy>F. Cankat Tulunay</cp:lastModifiedBy>
  <cp:revision>2</cp:revision>
  <dcterms:created xsi:type="dcterms:W3CDTF">2014-04-16T17:48:00Z</dcterms:created>
  <dcterms:modified xsi:type="dcterms:W3CDTF">2014-04-16T17:48:00Z</dcterms:modified>
</cp:coreProperties>
</file>