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48E" w:rsidRDefault="00E6348E" w:rsidP="00E6348E">
      <w:pPr>
        <w:widowControl w:val="0"/>
        <w:autoSpaceDE w:val="0"/>
        <w:autoSpaceDN w:val="0"/>
        <w:adjustRightInd w:val="0"/>
        <w:spacing w:after="360"/>
        <w:jc w:val="center"/>
        <w:rPr>
          <w:rFonts w:ascii="Times" w:hAnsi="Times" w:cs="Times"/>
          <w:sz w:val="36"/>
          <w:szCs w:val="36"/>
        </w:rPr>
      </w:pPr>
      <w:r>
        <w:rPr>
          <w:rFonts w:ascii="Times" w:hAnsi="Times" w:cs="Times"/>
          <w:sz w:val="36"/>
          <w:szCs w:val="36"/>
        </w:rPr>
        <w:t>Statement</w:t>
      </w:r>
    </w:p>
    <w:p w:rsidR="00E6348E" w:rsidRDefault="00E6348E" w:rsidP="00E6348E">
      <w:pPr>
        <w:widowControl w:val="0"/>
        <w:autoSpaceDE w:val="0"/>
        <w:autoSpaceDN w:val="0"/>
        <w:adjustRightInd w:val="0"/>
        <w:spacing w:after="360"/>
        <w:jc w:val="center"/>
        <w:rPr>
          <w:rFonts w:ascii="Times" w:hAnsi="Times" w:cs="Times"/>
          <w:sz w:val="36"/>
          <w:szCs w:val="36"/>
        </w:rPr>
      </w:pPr>
      <w:r>
        <w:rPr>
          <w:rFonts w:ascii="Times" w:hAnsi="Times" w:cs="Times"/>
          <w:sz w:val="36"/>
          <w:szCs w:val="36"/>
        </w:rPr>
        <w:t>of</w:t>
      </w:r>
    </w:p>
    <w:p w:rsidR="00E6348E" w:rsidRDefault="00E6348E" w:rsidP="00E6348E">
      <w:pPr>
        <w:widowControl w:val="0"/>
        <w:autoSpaceDE w:val="0"/>
        <w:autoSpaceDN w:val="0"/>
        <w:adjustRightInd w:val="0"/>
        <w:spacing w:after="360"/>
        <w:jc w:val="center"/>
        <w:rPr>
          <w:rFonts w:ascii="Times" w:hAnsi="Times" w:cs="Times"/>
          <w:sz w:val="36"/>
          <w:szCs w:val="36"/>
        </w:rPr>
      </w:pPr>
      <w:r>
        <w:rPr>
          <w:rFonts w:ascii="Times" w:hAnsi="Times" w:cs="Times"/>
          <w:sz w:val="36"/>
          <w:szCs w:val="36"/>
        </w:rPr>
        <w:t>Richard Klausner, M.D.</w:t>
      </w:r>
    </w:p>
    <w:p w:rsidR="00E6348E" w:rsidRDefault="00E6348E" w:rsidP="00E6348E">
      <w:pPr>
        <w:widowControl w:val="0"/>
        <w:autoSpaceDE w:val="0"/>
        <w:autoSpaceDN w:val="0"/>
        <w:adjustRightInd w:val="0"/>
        <w:spacing w:after="360"/>
        <w:jc w:val="center"/>
        <w:rPr>
          <w:rFonts w:ascii="Times" w:hAnsi="Times" w:cs="Times"/>
          <w:sz w:val="36"/>
          <w:szCs w:val="36"/>
        </w:rPr>
      </w:pPr>
      <w:r>
        <w:rPr>
          <w:rFonts w:ascii="Times" w:hAnsi="Times" w:cs="Times"/>
          <w:sz w:val="36"/>
          <w:szCs w:val="36"/>
        </w:rPr>
        <w:t>Director</w:t>
      </w:r>
    </w:p>
    <w:p w:rsidR="00E6348E" w:rsidRDefault="00E6348E" w:rsidP="00E6348E">
      <w:pPr>
        <w:widowControl w:val="0"/>
        <w:autoSpaceDE w:val="0"/>
        <w:autoSpaceDN w:val="0"/>
        <w:adjustRightInd w:val="0"/>
        <w:spacing w:after="360"/>
        <w:jc w:val="center"/>
        <w:rPr>
          <w:rFonts w:ascii="Times" w:hAnsi="Times" w:cs="Times"/>
          <w:sz w:val="36"/>
          <w:szCs w:val="36"/>
        </w:rPr>
      </w:pPr>
      <w:r>
        <w:rPr>
          <w:rFonts w:ascii="Times" w:hAnsi="Times" w:cs="Times"/>
          <w:sz w:val="36"/>
          <w:szCs w:val="36"/>
        </w:rPr>
        <w:t>National Cancer Institute</w:t>
      </w:r>
    </w:p>
    <w:p w:rsidR="00E6348E" w:rsidRDefault="00E6348E" w:rsidP="00E6348E">
      <w:pPr>
        <w:widowControl w:val="0"/>
        <w:autoSpaceDE w:val="0"/>
        <w:autoSpaceDN w:val="0"/>
        <w:adjustRightInd w:val="0"/>
        <w:spacing w:after="360"/>
        <w:jc w:val="center"/>
        <w:rPr>
          <w:rFonts w:ascii="Times" w:hAnsi="Times" w:cs="Times"/>
          <w:sz w:val="36"/>
          <w:szCs w:val="36"/>
        </w:rPr>
      </w:pPr>
      <w:r>
        <w:rPr>
          <w:rFonts w:ascii="Times" w:hAnsi="Times" w:cs="Times"/>
          <w:sz w:val="36"/>
          <w:szCs w:val="36"/>
        </w:rPr>
        <w:t>National Institutes of Health</w:t>
      </w:r>
    </w:p>
    <w:p w:rsidR="00E6348E" w:rsidRDefault="00E6348E" w:rsidP="00E6348E">
      <w:pPr>
        <w:widowControl w:val="0"/>
        <w:autoSpaceDE w:val="0"/>
        <w:autoSpaceDN w:val="0"/>
        <w:adjustRightInd w:val="0"/>
        <w:spacing w:after="360"/>
        <w:jc w:val="center"/>
        <w:rPr>
          <w:rFonts w:ascii="Times" w:hAnsi="Times" w:cs="Times"/>
          <w:sz w:val="36"/>
          <w:szCs w:val="36"/>
        </w:rPr>
      </w:pPr>
      <w:r>
        <w:rPr>
          <w:rFonts w:ascii="Times" w:hAnsi="Times" w:cs="Times"/>
          <w:sz w:val="36"/>
          <w:szCs w:val="36"/>
        </w:rPr>
        <w:t>Department of Health and Human Services</w:t>
      </w:r>
    </w:p>
    <w:p w:rsidR="00E6348E" w:rsidRDefault="00E6348E" w:rsidP="00E6348E">
      <w:pPr>
        <w:widowControl w:val="0"/>
        <w:autoSpaceDE w:val="0"/>
        <w:autoSpaceDN w:val="0"/>
        <w:adjustRightInd w:val="0"/>
        <w:spacing w:after="360"/>
        <w:jc w:val="center"/>
        <w:rPr>
          <w:rFonts w:ascii="Times" w:hAnsi="Times" w:cs="Times"/>
          <w:sz w:val="36"/>
          <w:szCs w:val="36"/>
        </w:rPr>
      </w:pPr>
    </w:p>
    <w:p w:rsidR="00E6348E" w:rsidRDefault="00E6348E" w:rsidP="00E6348E">
      <w:pPr>
        <w:widowControl w:val="0"/>
        <w:autoSpaceDE w:val="0"/>
        <w:autoSpaceDN w:val="0"/>
        <w:adjustRightInd w:val="0"/>
        <w:spacing w:after="360"/>
        <w:jc w:val="center"/>
        <w:rPr>
          <w:rFonts w:ascii="Times" w:hAnsi="Times" w:cs="Times"/>
          <w:sz w:val="36"/>
          <w:szCs w:val="36"/>
        </w:rPr>
      </w:pPr>
      <w:r>
        <w:rPr>
          <w:rFonts w:ascii="Times" w:hAnsi="Times" w:cs="Times"/>
          <w:sz w:val="36"/>
          <w:szCs w:val="36"/>
        </w:rPr>
        <w:t>Before the</w:t>
      </w:r>
    </w:p>
    <w:p w:rsidR="00E6348E" w:rsidRDefault="00E6348E" w:rsidP="00E6348E">
      <w:pPr>
        <w:widowControl w:val="0"/>
        <w:autoSpaceDE w:val="0"/>
        <w:autoSpaceDN w:val="0"/>
        <w:adjustRightInd w:val="0"/>
        <w:spacing w:after="360"/>
        <w:jc w:val="center"/>
        <w:rPr>
          <w:rFonts w:ascii="Times" w:hAnsi="Times" w:cs="Times"/>
          <w:sz w:val="36"/>
          <w:szCs w:val="36"/>
        </w:rPr>
      </w:pPr>
      <w:r>
        <w:rPr>
          <w:rFonts w:ascii="Times" w:hAnsi="Times" w:cs="Times"/>
          <w:sz w:val="36"/>
          <w:szCs w:val="36"/>
        </w:rPr>
        <w:t>Senate Appropriations Subcommittee</w:t>
      </w:r>
    </w:p>
    <w:p w:rsidR="00E6348E" w:rsidRDefault="00E6348E" w:rsidP="00E6348E">
      <w:pPr>
        <w:widowControl w:val="0"/>
        <w:autoSpaceDE w:val="0"/>
        <w:autoSpaceDN w:val="0"/>
        <w:adjustRightInd w:val="0"/>
        <w:spacing w:after="360"/>
        <w:jc w:val="center"/>
        <w:rPr>
          <w:rFonts w:ascii="Times" w:hAnsi="Times" w:cs="Times"/>
          <w:sz w:val="36"/>
          <w:szCs w:val="36"/>
        </w:rPr>
      </w:pPr>
      <w:r>
        <w:rPr>
          <w:rFonts w:ascii="Times" w:hAnsi="Times" w:cs="Times"/>
          <w:sz w:val="36"/>
          <w:szCs w:val="36"/>
        </w:rPr>
        <w:t>on</w:t>
      </w:r>
    </w:p>
    <w:p w:rsidR="00E6348E" w:rsidRDefault="00E6348E" w:rsidP="00E6348E">
      <w:pPr>
        <w:widowControl w:val="0"/>
        <w:autoSpaceDE w:val="0"/>
        <w:autoSpaceDN w:val="0"/>
        <w:adjustRightInd w:val="0"/>
        <w:spacing w:after="360"/>
        <w:jc w:val="center"/>
        <w:rPr>
          <w:rFonts w:ascii="Times" w:hAnsi="Times" w:cs="Times"/>
          <w:sz w:val="36"/>
          <w:szCs w:val="36"/>
        </w:rPr>
      </w:pPr>
      <w:r>
        <w:rPr>
          <w:rFonts w:ascii="Times" w:hAnsi="Times" w:cs="Times"/>
          <w:sz w:val="36"/>
          <w:szCs w:val="36"/>
        </w:rPr>
        <w:t>Labor, Health and Human Services, Education, and Related Agencies</w:t>
      </w:r>
    </w:p>
    <w:p w:rsidR="00E6348E" w:rsidRDefault="00E6348E" w:rsidP="00E6348E">
      <w:pPr>
        <w:widowControl w:val="0"/>
        <w:autoSpaceDE w:val="0"/>
        <w:autoSpaceDN w:val="0"/>
        <w:adjustRightInd w:val="0"/>
        <w:spacing w:after="360"/>
        <w:jc w:val="center"/>
        <w:rPr>
          <w:rFonts w:ascii="Times" w:hAnsi="Times" w:cs="Times"/>
          <w:sz w:val="36"/>
          <w:szCs w:val="36"/>
        </w:rPr>
      </w:pPr>
    </w:p>
    <w:p w:rsidR="00E6348E" w:rsidRDefault="00E6348E" w:rsidP="00E6348E">
      <w:pPr>
        <w:widowControl w:val="0"/>
        <w:autoSpaceDE w:val="0"/>
        <w:autoSpaceDN w:val="0"/>
        <w:adjustRightInd w:val="0"/>
        <w:spacing w:after="360"/>
        <w:jc w:val="center"/>
        <w:rPr>
          <w:rFonts w:ascii="Times" w:hAnsi="Times" w:cs="Times"/>
          <w:sz w:val="36"/>
          <w:szCs w:val="36"/>
        </w:rPr>
      </w:pPr>
      <w:r>
        <w:rPr>
          <w:rFonts w:ascii="Times" w:hAnsi="Times" w:cs="Times"/>
          <w:sz w:val="36"/>
          <w:szCs w:val="36"/>
        </w:rPr>
        <w:t>124 Senate Dirksen Office Building</w:t>
      </w:r>
    </w:p>
    <w:p w:rsidR="00E6348E" w:rsidRDefault="00E6348E" w:rsidP="00E6348E">
      <w:pPr>
        <w:widowControl w:val="0"/>
        <w:autoSpaceDE w:val="0"/>
        <w:autoSpaceDN w:val="0"/>
        <w:adjustRightInd w:val="0"/>
        <w:spacing w:after="360"/>
        <w:jc w:val="center"/>
        <w:rPr>
          <w:rFonts w:ascii="Times" w:hAnsi="Times" w:cs="Times"/>
          <w:sz w:val="36"/>
          <w:szCs w:val="36"/>
        </w:rPr>
      </w:pPr>
      <w:r>
        <w:rPr>
          <w:rFonts w:ascii="Times" w:hAnsi="Times" w:cs="Times"/>
          <w:sz w:val="36"/>
          <w:szCs w:val="36"/>
        </w:rPr>
        <w:t>Washington, DC</w:t>
      </w:r>
    </w:p>
    <w:p w:rsidR="00E6348E" w:rsidRDefault="00E6348E" w:rsidP="00E6348E">
      <w:pPr>
        <w:widowControl w:val="0"/>
        <w:autoSpaceDE w:val="0"/>
        <w:autoSpaceDN w:val="0"/>
        <w:adjustRightInd w:val="0"/>
        <w:spacing w:after="360"/>
        <w:jc w:val="center"/>
        <w:rPr>
          <w:rFonts w:ascii="Times" w:hAnsi="Times" w:cs="Times"/>
          <w:sz w:val="36"/>
          <w:szCs w:val="36"/>
        </w:rPr>
      </w:pPr>
      <w:r>
        <w:rPr>
          <w:rFonts w:ascii="Times" w:hAnsi="Times" w:cs="Times"/>
          <w:sz w:val="36"/>
          <w:szCs w:val="36"/>
        </w:rPr>
        <w:t>June 21, 2001; 9:30 AM</w:t>
      </w:r>
    </w:p>
    <w:p w:rsidR="00E6348E" w:rsidRDefault="00E6348E" w:rsidP="00E6348E">
      <w:pPr>
        <w:widowControl w:val="0"/>
        <w:autoSpaceDE w:val="0"/>
        <w:autoSpaceDN w:val="0"/>
        <w:adjustRightInd w:val="0"/>
        <w:spacing w:after="320"/>
        <w:jc w:val="center"/>
        <w:rPr>
          <w:rFonts w:ascii="Times" w:hAnsi="Times" w:cs="Times"/>
          <w:sz w:val="32"/>
          <w:szCs w:val="32"/>
        </w:rPr>
      </w:pPr>
      <w:r>
        <w:rPr>
          <w:rFonts w:ascii="Times" w:hAnsi="Times" w:cs="Times"/>
          <w:sz w:val="32"/>
          <w:szCs w:val="32"/>
        </w:rPr>
        <w:lastRenderedPageBreak/>
        <w:t> </w:t>
      </w:r>
    </w:p>
    <w:p w:rsidR="00E6348E" w:rsidRDefault="00E6348E" w:rsidP="00E6348E">
      <w:pPr>
        <w:widowControl w:val="0"/>
        <w:autoSpaceDE w:val="0"/>
        <w:autoSpaceDN w:val="0"/>
        <w:adjustRightInd w:val="0"/>
        <w:spacing w:after="320"/>
        <w:jc w:val="center"/>
        <w:rPr>
          <w:rFonts w:ascii="Times New Roman" w:hAnsi="Times New Roman" w:cs="Times New Roman"/>
          <w:sz w:val="32"/>
          <w:szCs w:val="32"/>
        </w:rPr>
      </w:pPr>
    </w:p>
    <w:p w:rsidR="00E6348E" w:rsidRDefault="00E6348E" w:rsidP="00E6348E">
      <w:pPr>
        <w:widowControl w:val="0"/>
        <w:autoSpaceDE w:val="0"/>
        <w:autoSpaceDN w:val="0"/>
        <w:adjustRightInd w:val="0"/>
        <w:spacing w:after="320"/>
        <w:rPr>
          <w:rFonts w:ascii="Times" w:hAnsi="Times" w:cs="Times"/>
          <w:sz w:val="32"/>
          <w:szCs w:val="32"/>
        </w:rPr>
      </w:pPr>
      <w:r>
        <w:rPr>
          <w:rFonts w:ascii="Times" w:hAnsi="Times" w:cs="Times"/>
          <w:sz w:val="32"/>
          <w:szCs w:val="32"/>
        </w:rPr>
        <w:t>Good morning. I am Richard Klausner, M.D., Director of the National Cancer Institute. Thank you, Chairman Harkin, Senator Specter, and distinguished Members of the Subcommittee for inviting me to speak with you about research on hematologic cancers.</w:t>
      </w:r>
    </w:p>
    <w:p w:rsidR="00E6348E" w:rsidRDefault="00E6348E" w:rsidP="00E6348E">
      <w:pPr>
        <w:widowControl w:val="0"/>
        <w:autoSpaceDE w:val="0"/>
        <w:autoSpaceDN w:val="0"/>
        <w:adjustRightInd w:val="0"/>
        <w:spacing w:after="320"/>
        <w:rPr>
          <w:rFonts w:ascii="Times" w:hAnsi="Times" w:cs="Times"/>
          <w:sz w:val="32"/>
          <w:szCs w:val="32"/>
        </w:rPr>
      </w:pPr>
      <w:r>
        <w:rPr>
          <w:rFonts w:ascii="Times" w:hAnsi="Times" w:cs="Times"/>
          <w:sz w:val="32"/>
          <w:szCs w:val="32"/>
        </w:rPr>
        <w:t>Despite advances in diagnosis and treatment and improvements in patient survival, hematologic cancers continue to have a significant impact on the lives of Americans. Right now, almost 700,000 Americans are living with leukemia, lymphoma, or myeloma (LLM), and an estimated 100,000 new cases occur each year. Although mortality has declined and 5-year survival rates have increased among adults and children with certain forms of these diseases, an estimated 60,000 Americans will die of them in 2001. For all forms of leukemia, the five-year survival rate is only 46%, for non-Hodgkin’s lymphoma it is 54.2%, and for multiple myeloma it is only 28%. Despite the significant decline in the death rate for children with leukemia, this disease still causes more deaths in children in the U.S. than any other disease. Furthermore, the death rates for non-Hodgkin’s lymphoma and multiple myeloma are increasing at a time when death rates for other cancers are dropping. Since the 1970’s, incidence rates for non-Hodgkin’s lymphoma have nearly doubled, although during the 1990’s the rate of increase appeared to slow. Hematologic cancers strike individuals of all ages, from children to the elderly; men and women; and all races.</w:t>
      </w:r>
    </w:p>
    <w:p w:rsidR="00E6348E" w:rsidRDefault="00E6348E" w:rsidP="00E6348E">
      <w:pPr>
        <w:widowControl w:val="0"/>
        <w:autoSpaceDE w:val="0"/>
        <w:autoSpaceDN w:val="0"/>
        <w:adjustRightInd w:val="0"/>
        <w:spacing w:after="320"/>
        <w:jc w:val="center"/>
        <w:rPr>
          <w:rFonts w:ascii="Times" w:hAnsi="Times" w:cs="Times"/>
          <w:b/>
          <w:bCs/>
          <w:sz w:val="32"/>
          <w:szCs w:val="32"/>
        </w:rPr>
      </w:pPr>
      <w:r>
        <w:rPr>
          <w:rFonts w:ascii="Times" w:hAnsi="Times" w:cs="Times"/>
          <w:b/>
          <w:bCs/>
          <w:sz w:val="32"/>
          <w:szCs w:val="32"/>
        </w:rPr>
        <w:t>What are leukemia, lymphoma, and multiple myeloma?</w:t>
      </w:r>
    </w:p>
    <w:p w:rsidR="00E6348E" w:rsidRDefault="00E6348E" w:rsidP="00E6348E">
      <w:pPr>
        <w:widowControl w:val="0"/>
        <w:autoSpaceDE w:val="0"/>
        <w:autoSpaceDN w:val="0"/>
        <w:adjustRightInd w:val="0"/>
        <w:spacing w:after="320"/>
        <w:rPr>
          <w:rFonts w:ascii="Times" w:hAnsi="Times" w:cs="Times"/>
          <w:sz w:val="32"/>
          <w:szCs w:val="32"/>
        </w:rPr>
      </w:pPr>
      <w:r>
        <w:rPr>
          <w:rFonts w:ascii="Times" w:hAnsi="Times" w:cs="Times"/>
          <w:sz w:val="32"/>
          <w:szCs w:val="32"/>
        </w:rPr>
        <w:t>To understand these diseases, we must first understand the normal development of the cells they affect. Hematopoiesis is the process by which blood cells form and mature. All the different types of blood cells arise in the bone marrow from a common pluripotent hematopoietic stem cell, and undergo a series of developmental steps to differentiate into mature cells and assume specific roles in the body. New, immature blood cells may stay in the marrow to mature or may travel to other parts of the body to mature. Normally, blood cells are produced in an orderly, controlled way, as the body needs them. Some circulate throughout our bodies via blood vessels and lymph vessels. Some reside in the lymphatic tissues that are primarily concentrated in lymph nodes, thymus, spleen, and in most of our major organ systems.</w:t>
      </w:r>
    </w:p>
    <w:p w:rsidR="00E6348E" w:rsidRDefault="00E6348E" w:rsidP="00E6348E">
      <w:pPr>
        <w:widowControl w:val="0"/>
        <w:autoSpaceDE w:val="0"/>
        <w:autoSpaceDN w:val="0"/>
        <w:adjustRightInd w:val="0"/>
        <w:spacing w:after="320"/>
        <w:rPr>
          <w:rFonts w:ascii="Times" w:hAnsi="Times" w:cs="Times"/>
          <w:sz w:val="32"/>
          <w:szCs w:val="32"/>
        </w:rPr>
      </w:pPr>
      <w:r>
        <w:rPr>
          <w:rFonts w:ascii="Times" w:hAnsi="Times" w:cs="Times"/>
          <w:sz w:val="32"/>
          <w:szCs w:val="32"/>
        </w:rPr>
        <w:t>Leukemia, lymphoma, and multiple myeloma are all cancers of the blood-forming organs, or hematopoietic neoplasms. They arise due to errors in the genetic information of an immature blood cell. As a consequence of these errors, the cell’s development is arrested so that it does not mature further, but is instead replicated over and over again, resulting in a proliferation of abnormal blood cells. Nearly every stage of the hematopoietic process can give rise to a distinct type of cancer.</w:t>
      </w:r>
    </w:p>
    <w:p w:rsidR="00E6348E" w:rsidRDefault="00E6348E" w:rsidP="00E6348E">
      <w:pPr>
        <w:widowControl w:val="0"/>
        <w:autoSpaceDE w:val="0"/>
        <w:autoSpaceDN w:val="0"/>
        <w:adjustRightInd w:val="0"/>
        <w:spacing w:after="320"/>
        <w:rPr>
          <w:rFonts w:ascii="Times" w:hAnsi="Times" w:cs="Times"/>
          <w:sz w:val="32"/>
          <w:szCs w:val="32"/>
        </w:rPr>
      </w:pPr>
      <w:r>
        <w:rPr>
          <w:rFonts w:ascii="Times" w:hAnsi="Times" w:cs="Times"/>
          <w:sz w:val="32"/>
          <w:szCs w:val="32"/>
        </w:rPr>
        <w:t>Historically, scientists and physicians have classified these diseases by their locations in the body, the appearance of affected cells under the microscope, and the natural progression of the diseases. In leukemia, the cancerous cells are discovered circulating in the blood and bone marrow, while in lymphoma, the cells tend to aggregate and form masses, or tumors, in lymphatic tissues. Myeloma is a tumor of the bone marrow, and involves a specific subset of white blood cells that produce a distinctive protein.</w:t>
      </w:r>
    </w:p>
    <w:p w:rsidR="00E6348E" w:rsidRDefault="00E6348E" w:rsidP="00E6348E">
      <w:pPr>
        <w:widowControl w:val="0"/>
        <w:autoSpaceDE w:val="0"/>
        <w:autoSpaceDN w:val="0"/>
        <w:adjustRightInd w:val="0"/>
        <w:spacing w:after="320"/>
        <w:rPr>
          <w:rFonts w:ascii="Times" w:hAnsi="Times" w:cs="Times"/>
          <w:sz w:val="32"/>
          <w:szCs w:val="32"/>
        </w:rPr>
      </w:pPr>
      <w:r>
        <w:rPr>
          <w:rFonts w:ascii="Times" w:hAnsi="Times" w:cs="Times"/>
          <w:sz w:val="32"/>
          <w:szCs w:val="32"/>
        </w:rPr>
        <w:t>Leukemia can arise in either of two main groups of white blood cell types —lymphocytes or myelocytes. Either type of leukemia can be acute, a rapidly progressing form of the disease in which the affected cells are very immature and unable to serve their proper purpose, or chronic, which progresses more slowly and is distinguished by cells that are relatively well differentiated but still function poorly. Lymphoma involves lymphocytes and can also be subclassified. Non-Hodgkin’s lymphoma (NHL) is the more prevalent form of the disease. Among non-Hodgkin’s lymphomas, indolent disease progresses slowly and exhibits well-differentiated lymphocytes, while the more aggressive forms are characterized by lymphocytes with far less differentiation. Hodgkin’s disease, which is less common than NHL and has different clinical and epidemiological features, has historically been distinguished from NHL by the presence of distinctive cells called Reed-Sternberg cells.</w:t>
      </w:r>
    </w:p>
    <w:p w:rsidR="00E6348E" w:rsidRDefault="00E6348E" w:rsidP="00E6348E">
      <w:pPr>
        <w:widowControl w:val="0"/>
        <w:autoSpaceDE w:val="0"/>
        <w:autoSpaceDN w:val="0"/>
        <w:adjustRightInd w:val="0"/>
        <w:spacing w:after="320"/>
        <w:rPr>
          <w:rFonts w:ascii="Times" w:hAnsi="Times" w:cs="Times"/>
          <w:sz w:val="32"/>
          <w:szCs w:val="32"/>
        </w:rPr>
      </w:pPr>
      <w:r>
        <w:rPr>
          <w:rFonts w:ascii="Times" w:hAnsi="Times" w:cs="Times"/>
          <w:sz w:val="32"/>
          <w:szCs w:val="32"/>
        </w:rPr>
        <w:t>Leukemias, lymphomas, and myelomas share some common features, but there are major differences among them – and there are similarities and differences within each disease group. These cancers actually represent a large number of diseases that vary significantly in their causes, molecular profiles, and natural progression. In the past decade we have a experienced a revolution in the field of molecular biology that has brought new tools that are helping us refine cancer classification in terms of the molecular changes that distinguish a normal cell from a cancerous one, and draw differences between cancerous cells of different types.</w:t>
      </w:r>
    </w:p>
    <w:p w:rsidR="00E6348E" w:rsidRDefault="00E6348E" w:rsidP="00E6348E">
      <w:pPr>
        <w:widowControl w:val="0"/>
        <w:autoSpaceDE w:val="0"/>
        <w:autoSpaceDN w:val="0"/>
        <w:adjustRightInd w:val="0"/>
        <w:spacing w:after="320"/>
        <w:rPr>
          <w:rFonts w:ascii="Times" w:hAnsi="Times" w:cs="Times"/>
          <w:sz w:val="32"/>
          <w:szCs w:val="32"/>
        </w:rPr>
      </w:pPr>
      <w:r>
        <w:rPr>
          <w:rFonts w:ascii="Times" w:hAnsi="Times" w:cs="Times"/>
          <w:sz w:val="32"/>
          <w:szCs w:val="32"/>
        </w:rPr>
        <w:t>This is an area of research rich in scientific promise, and the NCI has issued the Director’s Challenge: Toward a Molecular Classification of Tumors, in which investigators are creating comprehensive molecular profiles of tumors using DNA, RNA, or protein-based technologies. These profiles will be used to define more informative, and clinically predictive, molecular classification schemes for human cancers.</w:t>
      </w:r>
    </w:p>
    <w:p w:rsidR="00E6348E" w:rsidRDefault="00E6348E" w:rsidP="00E6348E">
      <w:pPr>
        <w:widowControl w:val="0"/>
        <w:autoSpaceDE w:val="0"/>
        <w:autoSpaceDN w:val="0"/>
        <w:adjustRightInd w:val="0"/>
        <w:spacing w:after="320"/>
        <w:rPr>
          <w:rFonts w:ascii="Times" w:hAnsi="Times" w:cs="Times"/>
          <w:sz w:val="32"/>
          <w:szCs w:val="32"/>
        </w:rPr>
      </w:pPr>
    </w:p>
    <w:p w:rsidR="00E6348E" w:rsidRDefault="00E6348E" w:rsidP="00E6348E">
      <w:pPr>
        <w:widowControl w:val="0"/>
        <w:autoSpaceDE w:val="0"/>
        <w:autoSpaceDN w:val="0"/>
        <w:adjustRightInd w:val="0"/>
        <w:spacing w:after="320"/>
        <w:jc w:val="center"/>
        <w:rPr>
          <w:rFonts w:ascii="Times" w:hAnsi="Times" w:cs="Times"/>
          <w:b/>
          <w:bCs/>
          <w:sz w:val="32"/>
          <w:szCs w:val="32"/>
        </w:rPr>
      </w:pPr>
      <w:r>
        <w:rPr>
          <w:rFonts w:ascii="Times" w:hAnsi="Times" w:cs="Times"/>
          <w:b/>
          <w:bCs/>
          <w:sz w:val="32"/>
          <w:szCs w:val="32"/>
        </w:rPr>
        <w:t>Moving Toward a New Understanding of LLM</w:t>
      </w:r>
    </w:p>
    <w:p w:rsidR="00E6348E" w:rsidRDefault="00E6348E" w:rsidP="00E6348E">
      <w:pPr>
        <w:widowControl w:val="0"/>
        <w:autoSpaceDE w:val="0"/>
        <w:autoSpaceDN w:val="0"/>
        <w:adjustRightInd w:val="0"/>
        <w:spacing w:after="320"/>
        <w:rPr>
          <w:rFonts w:ascii="Times" w:hAnsi="Times" w:cs="Times"/>
          <w:sz w:val="32"/>
          <w:szCs w:val="32"/>
        </w:rPr>
      </w:pPr>
      <w:r>
        <w:rPr>
          <w:rFonts w:ascii="Times" w:hAnsi="Times" w:cs="Times"/>
          <w:sz w:val="32"/>
          <w:szCs w:val="32"/>
        </w:rPr>
        <w:t>A major NCI initiative, the Cancer Genome Anatomy Project (CGAP), has resulted in the cataloging of tens of thousands of human and mouse genes. The CGAP database is a unique resource that allows scientists to develop tools to perform large-scale genomic analyses to characterize tumors genetically. This genetic characterization can help explain why patients diagnosed with the same cancer differ dramatically in their responses to treatment. For example, a collaboration of scientists (including NCI scientists) genetically analyzed diffuse large B-cell lymphoma, an aggressive cancer that is the most common type of non-Hodgkin’s lymphoma. For 40 percent of patients with this diagnosis, standard multi-agent chemotherapy is curative. A compelling clinical problem is to understand why the remaining 60 percent of patients succumb to this disease despite chemotherapy. Reasoning that the varying therapeutic responses of patients with diffuse large B-cell lymphoma are due to undefined molecular differences in their tumors, researchers used DNA microarray technology to define the gene expression profiles of diffuse large B-cell lymphoma samples on a genomic scale. This new technology is capable of measuring the activity of tens of thousands of genes at the same time, thus creating a molecular portrait of the cells being studied.</w:t>
      </w:r>
    </w:p>
    <w:p w:rsidR="00E6348E" w:rsidRDefault="00E6348E" w:rsidP="00E6348E">
      <w:pPr>
        <w:widowControl w:val="0"/>
        <w:autoSpaceDE w:val="0"/>
        <w:autoSpaceDN w:val="0"/>
        <w:adjustRightInd w:val="0"/>
        <w:spacing w:after="320"/>
        <w:rPr>
          <w:rFonts w:ascii="Times" w:hAnsi="Times" w:cs="Times"/>
          <w:sz w:val="32"/>
          <w:szCs w:val="32"/>
        </w:rPr>
      </w:pPr>
      <w:r>
        <w:rPr>
          <w:rFonts w:ascii="Times" w:hAnsi="Times" w:cs="Times"/>
          <w:sz w:val="32"/>
          <w:szCs w:val="32"/>
        </w:rPr>
        <w:t>For this study, the CGAP was used to create a specialized DNA microarray, the Lymphochip, which is enriched in genes that function in normal and malignant lymphocytes. Lymphochip microarray analysis of gene expression in diffuse large B-cell lymphoma samples revealed that this single diagnosis actually combines two distinct diseases that differ in the expression of hundreds of genes. The two types of diffuse large B-cell lymphoma that were discovered each resemble a different type of normal B lymphocyte, suggesting that these cancers have distinct cellular origins. Clinically, patients with these two types of diffuse large B-cell lymphoma had strikingly different responses to chemotherapy. Patients with one lymphoma subtype, termed germinal center B-like diffuse large B-cell lymphoma, had a favorable prognosis: 75 percent of these patients were cured by chemotherapy. Patients with the other lymphoma subtype, termed activated B-like diffuse large B-cell lymphoma, had a poor response to chemotherapy with less than one quarter of these patients achieving a long-term remission. This study provides a clear demonstration that genomic-scale gene expression analysis can define clinically important subtypes of human cancer.</w:t>
      </w:r>
    </w:p>
    <w:p w:rsidR="00E6348E" w:rsidRDefault="00E6348E" w:rsidP="00E6348E">
      <w:pPr>
        <w:widowControl w:val="0"/>
        <w:autoSpaceDE w:val="0"/>
        <w:autoSpaceDN w:val="0"/>
        <w:adjustRightInd w:val="0"/>
        <w:spacing w:after="320"/>
        <w:rPr>
          <w:rFonts w:ascii="Times" w:hAnsi="Times" w:cs="Times"/>
          <w:sz w:val="32"/>
          <w:szCs w:val="32"/>
        </w:rPr>
      </w:pPr>
      <w:r>
        <w:rPr>
          <w:rFonts w:ascii="Times" w:hAnsi="Times" w:cs="Times"/>
          <w:sz w:val="32"/>
          <w:szCs w:val="32"/>
        </w:rPr>
        <w:t>This powerful new technology is now being used to study many different types of cancers, including leukemia and multiple myeloma, in an attempt to identify disease subgroups. For example, a new project, "Molecular Taxonomy of Pediatric and Adult Acute Leukemia," will attempt to correlate the expression pattern of over 30,000 genes with treatment outcome and with cytogenetic abnormalities for both acute lymphocytic leukemia and acute myeloid leukemia. In the future, such gene expression profiling of cancer cells will be used to guide patients towards therapies that are tailored for their particular diseases.</w:t>
      </w:r>
    </w:p>
    <w:p w:rsidR="00E6348E" w:rsidRDefault="00E6348E" w:rsidP="00E6348E">
      <w:pPr>
        <w:widowControl w:val="0"/>
        <w:autoSpaceDE w:val="0"/>
        <w:autoSpaceDN w:val="0"/>
        <w:adjustRightInd w:val="0"/>
        <w:spacing w:after="320"/>
        <w:rPr>
          <w:rFonts w:ascii="Times" w:hAnsi="Times" w:cs="Times"/>
          <w:sz w:val="32"/>
          <w:szCs w:val="32"/>
        </w:rPr>
      </w:pPr>
    </w:p>
    <w:p w:rsidR="00E6348E" w:rsidRDefault="00E6348E" w:rsidP="00E6348E">
      <w:pPr>
        <w:widowControl w:val="0"/>
        <w:autoSpaceDE w:val="0"/>
        <w:autoSpaceDN w:val="0"/>
        <w:adjustRightInd w:val="0"/>
        <w:spacing w:after="320"/>
        <w:jc w:val="center"/>
        <w:rPr>
          <w:rFonts w:ascii="Times" w:hAnsi="Times" w:cs="Times"/>
          <w:b/>
          <w:bCs/>
          <w:sz w:val="32"/>
          <w:szCs w:val="32"/>
        </w:rPr>
      </w:pPr>
      <w:r>
        <w:rPr>
          <w:rFonts w:ascii="Times" w:hAnsi="Times" w:cs="Times"/>
          <w:b/>
          <w:bCs/>
          <w:sz w:val="32"/>
          <w:szCs w:val="32"/>
        </w:rPr>
        <w:t>Causes, Risk Factors, and Epidemiology of LLM</w:t>
      </w:r>
    </w:p>
    <w:p w:rsidR="00E6348E" w:rsidRDefault="00E6348E" w:rsidP="00E6348E">
      <w:pPr>
        <w:widowControl w:val="0"/>
        <w:autoSpaceDE w:val="0"/>
        <w:autoSpaceDN w:val="0"/>
        <w:adjustRightInd w:val="0"/>
        <w:spacing w:after="320"/>
        <w:rPr>
          <w:rFonts w:ascii="Times" w:hAnsi="Times" w:cs="Times"/>
          <w:sz w:val="32"/>
          <w:szCs w:val="32"/>
        </w:rPr>
      </w:pPr>
      <w:r>
        <w:rPr>
          <w:rFonts w:ascii="Times" w:hAnsi="Times" w:cs="Times"/>
          <w:sz w:val="32"/>
          <w:szCs w:val="32"/>
        </w:rPr>
        <w:t>Our understanding of the causes of these diseases is extremely limited, perhaps in part due to extreme heterogeneity of the diseases and the inadequacy of the traditional classification schemes to adequately address this heterogeneity. As our knowledge base about molecular subtypes grows, we hope that we will be better able to understand the relationships between causative factors and the development of LLM.</w:t>
      </w:r>
    </w:p>
    <w:p w:rsidR="00E6348E" w:rsidRDefault="00E6348E" w:rsidP="00E6348E">
      <w:pPr>
        <w:widowControl w:val="0"/>
        <w:autoSpaceDE w:val="0"/>
        <w:autoSpaceDN w:val="0"/>
        <w:adjustRightInd w:val="0"/>
        <w:spacing w:after="320"/>
        <w:rPr>
          <w:rFonts w:ascii="Times" w:hAnsi="Times" w:cs="Times"/>
          <w:b/>
          <w:bCs/>
          <w:sz w:val="32"/>
          <w:szCs w:val="32"/>
        </w:rPr>
      </w:pPr>
      <w:r>
        <w:rPr>
          <w:rFonts w:ascii="Times" w:hAnsi="Times" w:cs="Times"/>
          <w:b/>
          <w:bCs/>
          <w:sz w:val="32"/>
          <w:szCs w:val="32"/>
        </w:rPr>
        <w:t>Leukemia</w:t>
      </w:r>
    </w:p>
    <w:p w:rsidR="00E6348E" w:rsidRDefault="00E6348E" w:rsidP="00E6348E">
      <w:pPr>
        <w:widowControl w:val="0"/>
        <w:autoSpaceDE w:val="0"/>
        <w:autoSpaceDN w:val="0"/>
        <w:adjustRightInd w:val="0"/>
        <w:spacing w:after="320"/>
        <w:rPr>
          <w:rFonts w:ascii="Times" w:hAnsi="Times" w:cs="Times"/>
          <w:sz w:val="32"/>
          <w:szCs w:val="32"/>
        </w:rPr>
      </w:pPr>
      <w:r>
        <w:rPr>
          <w:rFonts w:ascii="Times" w:hAnsi="Times" w:cs="Times"/>
          <w:sz w:val="32"/>
          <w:szCs w:val="32"/>
        </w:rPr>
        <w:t>The leukemias are very heterogeneous, with patterns of occurrence differing by age, sex, and racial and ethnic group. For example, highest incidence of acute lymphoblastic leukemia (ALL) is in children, ages 2-4, while chronic lymphocytic leukemia (CLL) is rare before age 30, and has the highest incidence among the elderly. Chronic myeloid leukemia (CML) has a higher incidence among African-Americans than Caucasians, while the incidence of CLL is highest among Caucasians and extremely rare in Asians.</w:t>
      </w:r>
    </w:p>
    <w:p w:rsidR="00E6348E" w:rsidRDefault="00E6348E" w:rsidP="00E6348E">
      <w:pPr>
        <w:widowControl w:val="0"/>
        <w:autoSpaceDE w:val="0"/>
        <w:autoSpaceDN w:val="0"/>
        <w:adjustRightInd w:val="0"/>
        <w:spacing w:after="320"/>
        <w:rPr>
          <w:rFonts w:ascii="Times" w:hAnsi="Times" w:cs="Times"/>
          <w:sz w:val="32"/>
          <w:szCs w:val="32"/>
        </w:rPr>
      </w:pPr>
      <w:r>
        <w:rPr>
          <w:rFonts w:ascii="Times" w:hAnsi="Times" w:cs="Times"/>
          <w:sz w:val="32"/>
          <w:szCs w:val="32"/>
        </w:rPr>
        <w:t>The causes of leukemia in children and adults are largely unknown, but increased or decreased risks for developing leukemia have been associated with several factors. In an ongoing, collaborative follow-up study with Japanese investigators, NCI scientists have found strong evidence of radiation-induced risks for the acute leukemias and CML among Japanese atomic bomb survivors. NCI investigators and others have shown that radiotherapy and chemotherapy for a wide variety of diseases have been linked with moderately increased risks of acute myeloid leukemia (AML), although the benefits of treatment far outweigh the risks.</w:t>
      </w:r>
    </w:p>
    <w:p w:rsidR="00E6348E" w:rsidRDefault="00E6348E" w:rsidP="00E6348E">
      <w:pPr>
        <w:widowControl w:val="0"/>
        <w:autoSpaceDE w:val="0"/>
        <w:autoSpaceDN w:val="0"/>
        <w:adjustRightInd w:val="0"/>
        <w:spacing w:after="320"/>
        <w:rPr>
          <w:rFonts w:ascii="Times" w:hAnsi="Times" w:cs="Times"/>
          <w:sz w:val="32"/>
          <w:szCs w:val="32"/>
        </w:rPr>
      </w:pPr>
      <w:r>
        <w:rPr>
          <w:rFonts w:ascii="Times" w:hAnsi="Times" w:cs="Times"/>
          <w:sz w:val="32"/>
          <w:szCs w:val="32"/>
        </w:rPr>
        <w:t>Occupational exposures to ionizing radiation and certain chemicals such as benzene have also been linked with increased risk of acute leukemia. NCI is conducting an epidemiologic study of workers in China exposed to benzene at levels lower than previously studied, to characterize leukemia rates and to determine mechanisms of action and factors affecting carcinogenicity of benzene. In addition, cigarette smoking has been associated with modest increases in acute leukemia but the evidence is not yet conclusive.</w:t>
      </w:r>
    </w:p>
    <w:p w:rsidR="00E6348E" w:rsidRDefault="00E6348E" w:rsidP="00E6348E">
      <w:pPr>
        <w:widowControl w:val="0"/>
        <w:autoSpaceDE w:val="0"/>
        <w:autoSpaceDN w:val="0"/>
        <w:adjustRightInd w:val="0"/>
        <w:spacing w:after="320"/>
        <w:rPr>
          <w:rFonts w:ascii="Times" w:hAnsi="Times" w:cs="Times"/>
          <w:sz w:val="32"/>
          <w:szCs w:val="32"/>
        </w:rPr>
      </w:pPr>
      <w:r>
        <w:rPr>
          <w:rFonts w:ascii="Times" w:hAnsi="Times" w:cs="Times"/>
          <w:sz w:val="32"/>
          <w:szCs w:val="32"/>
        </w:rPr>
        <w:t>The first known human retrovirus, T-lymphotropic virus type 1 (HTLV-1), discovered at NCI in 1981, is the primary cause of adult leukemia and lymphoma arising from lymphocytes known as T cells. Certain genetic conditions can increase the risk for acute leukemia, including Li-Fraumeni syndrome, Down’s syndrome, Bloom’s syndrome and several other rare conditions.</w:t>
      </w:r>
    </w:p>
    <w:p w:rsidR="00E6348E" w:rsidRDefault="00E6348E" w:rsidP="00E6348E">
      <w:pPr>
        <w:widowControl w:val="0"/>
        <w:autoSpaceDE w:val="0"/>
        <w:autoSpaceDN w:val="0"/>
        <w:adjustRightInd w:val="0"/>
        <w:spacing w:after="320"/>
        <w:rPr>
          <w:rFonts w:ascii="Times" w:hAnsi="Times" w:cs="Times"/>
          <w:b/>
          <w:bCs/>
          <w:sz w:val="32"/>
          <w:szCs w:val="32"/>
        </w:rPr>
      </w:pPr>
      <w:r>
        <w:rPr>
          <w:rFonts w:ascii="Times" w:hAnsi="Times" w:cs="Times"/>
          <w:b/>
          <w:bCs/>
          <w:sz w:val="32"/>
          <w:szCs w:val="32"/>
        </w:rPr>
        <w:t>Lymphoma</w:t>
      </w:r>
    </w:p>
    <w:p w:rsidR="00E6348E" w:rsidRDefault="00E6348E" w:rsidP="00E6348E">
      <w:pPr>
        <w:widowControl w:val="0"/>
        <w:autoSpaceDE w:val="0"/>
        <w:autoSpaceDN w:val="0"/>
        <w:adjustRightInd w:val="0"/>
        <w:spacing w:after="320"/>
        <w:rPr>
          <w:rFonts w:ascii="Times" w:hAnsi="Times" w:cs="Times"/>
          <w:sz w:val="32"/>
          <w:szCs w:val="32"/>
        </w:rPr>
      </w:pPr>
      <w:r>
        <w:rPr>
          <w:rFonts w:ascii="Times" w:hAnsi="Times" w:cs="Times"/>
          <w:sz w:val="32"/>
          <w:szCs w:val="32"/>
        </w:rPr>
        <w:t>NCI investigators have recently reported on investigations of lymphoma incidence trends. Over the last ten years, researchers have studied the histologic types of lymphoma that are on the rise; illnesses, including other cancers, associated with lymphoma; occupational groups that may be at increased risks; and the role of genetic susceptibility. Recent research has identified several possible candidates for increasing risk including pesticides, organochlorine compounds, solvents, drinking water nitrates, and hair dyes. We are now evaluating whether these common exposures are contributing to the rise in NHL among some populations and investigating other hypothesized risk factors such as infectious agents, medical conditions, medical treatments, and genetic factors.</w:t>
      </w:r>
    </w:p>
    <w:p w:rsidR="00E6348E" w:rsidRDefault="00E6348E" w:rsidP="00E6348E">
      <w:pPr>
        <w:widowControl w:val="0"/>
        <w:autoSpaceDE w:val="0"/>
        <w:autoSpaceDN w:val="0"/>
        <w:adjustRightInd w:val="0"/>
        <w:spacing w:after="320"/>
        <w:rPr>
          <w:rFonts w:ascii="Times" w:hAnsi="Times" w:cs="Times"/>
          <w:sz w:val="32"/>
          <w:szCs w:val="32"/>
        </w:rPr>
      </w:pPr>
      <w:r>
        <w:rPr>
          <w:rFonts w:ascii="Times" w:hAnsi="Times" w:cs="Times"/>
          <w:sz w:val="32"/>
          <w:szCs w:val="32"/>
        </w:rPr>
        <w:t>There has been considerable research on the association between infectious agents and cancer. Helicobacter pylori is a bacterium associated with a particular rare type of lymphoma, mucosa-associated lymphoid tissue (MALT) lymphoma that arises in the stomach. Both Hodgkin's disease and non-Hodgkin's lymphoma, particularly some of the more aggressive forms, occur with increased frequency among adults and children infected with the human immunodeficiency virus (HIV), the virus that causes AIDS. In HIV-infected patients, about one-half of all lymphomas involving a type of lymphocytes called B cells are associated with the Epstein-Barr virus, including virtually all primary central nervous system lymphomas in patients with AIDS. A new Program Announcement, in collaboration with National Institute for Dental and Craniofacial Research, is being issued to stimulate research on viruses associated with the development of lymphomas among persons who are infected with HIV. The AIDS-Cancer Cohort is studying men infected with HIV to examine interactions with various environmental exposures that may contribute to the excess risk of lymphoma. Information from this project may be of value beyond the setting of HIV, as it may yield more fundamental biologic understanding of the interplay of viruses and chemicals in the development of lymphoma. A rare type of lymphoma, called Primary Effusion Lymphoma, which arises in the lining of the lung, heart or abdomen, is tightly linked to, and probably caused by, the Kaposi’s sarcoma herpes virus (KSHV). People who have both HIV and KSHV are at particularly high risk. Because viruses similar to KSHV are known to cause lymphoma in animals, efforts are in progress to identify new, lymphoma-related viruses in people.</w:t>
      </w:r>
    </w:p>
    <w:p w:rsidR="00E6348E" w:rsidRDefault="00E6348E" w:rsidP="00E6348E">
      <w:pPr>
        <w:widowControl w:val="0"/>
        <w:autoSpaceDE w:val="0"/>
        <w:autoSpaceDN w:val="0"/>
        <w:adjustRightInd w:val="0"/>
        <w:spacing w:after="320"/>
        <w:rPr>
          <w:rFonts w:ascii="Times" w:hAnsi="Times" w:cs="Times"/>
          <w:sz w:val="32"/>
          <w:szCs w:val="32"/>
        </w:rPr>
      </w:pPr>
      <w:r>
        <w:rPr>
          <w:rFonts w:ascii="Times" w:hAnsi="Times" w:cs="Times"/>
          <w:sz w:val="32"/>
          <w:szCs w:val="32"/>
        </w:rPr>
        <w:t>NCI scientists are conducting very large epidemiologic studies addressing the relationship between the environment and lymphoma development. In a population-based case-control study of non-Hodgkin’s lymphoma, NCI investigators, collaborating with the Centers for Disease Control and Prevention (CDC), assessed exposures to pesticides, solvents, and other factors using computer-assisted personal interviews, residential carpet dust samples, drinking water samples, and blood samples. Analysis continues, as investigators extract DNA from blood or saliva samples to assess the interaction between genetic variations and environmental risk factors.</w:t>
      </w:r>
    </w:p>
    <w:p w:rsidR="00E6348E" w:rsidRDefault="00E6348E" w:rsidP="00E6348E">
      <w:pPr>
        <w:widowControl w:val="0"/>
        <w:autoSpaceDE w:val="0"/>
        <w:autoSpaceDN w:val="0"/>
        <w:adjustRightInd w:val="0"/>
        <w:spacing w:after="320"/>
        <w:rPr>
          <w:rFonts w:ascii="Times" w:hAnsi="Times" w:cs="Times"/>
          <w:sz w:val="32"/>
          <w:szCs w:val="32"/>
        </w:rPr>
      </w:pPr>
      <w:r>
        <w:rPr>
          <w:rFonts w:ascii="Times" w:hAnsi="Times" w:cs="Times"/>
          <w:sz w:val="32"/>
          <w:szCs w:val="32"/>
        </w:rPr>
        <w:t>The Agricultural Health Study (AHS) is following 90,000 healthy farmers and their family members in Iowa and North Carolina in an effort to measure their risks of developing lymphoma and leukemia. NCI and National Institute of Environmental Health Sciences launched the AHS in 1993 after previous NCI research implicated occupational exposures to pesticides in the development of lymphoma. The study assesses the risks of other cancers and diseases, as well.</w:t>
      </w:r>
    </w:p>
    <w:p w:rsidR="00E6348E" w:rsidRDefault="00E6348E" w:rsidP="00E6348E">
      <w:pPr>
        <w:widowControl w:val="0"/>
        <w:autoSpaceDE w:val="0"/>
        <w:autoSpaceDN w:val="0"/>
        <w:adjustRightInd w:val="0"/>
        <w:spacing w:after="320"/>
        <w:rPr>
          <w:rFonts w:ascii="Times" w:hAnsi="Times" w:cs="Times"/>
          <w:sz w:val="32"/>
          <w:szCs w:val="32"/>
        </w:rPr>
      </w:pPr>
      <w:r>
        <w:rPr>
          <w:rFonts w:ascii="Times" w:hAnsi="Times" w:cs="Times"/>
          <w:sz w:val="32"/>
          <w:szCs w:val="32"/>
        </w:rPr>
        <w:t>A new initiative called Interlymph, coordinated by NCI and involving investigators in Europe and Australia, features a pooled and simultaneous analysis of thirteen case-control epidemiologic studies of non-Hodgkin’s lymphoma. The international consortium of collaborators will examine pathology, infectious agents, family history data, genetic factors, and methodologies needed to accurately assess possible links with the development of lymphoma.</w:t>
      </w:r>
    </w:p>
    <w:p w:rsidR="00E6348E" w:rsidRDefault="00E6348E" w:rsidP="00E6348E">
      <w:pPr>
        <w:widowControl w:val="0"/>
        <w:autoSpaceDE w:val="0"/>
        <w:autoSpaceDN w:val="0"/>
        <w:adjustRightInd w:val="0"/>
        <w:spacing w:after="320"/>
        <w:rPr>
          <w:rFonts w:ascii="Times" w:hAnsi="Times" w:cs="Times"/>
          <w:b/>
          <w:bCs/>
          <w:sz w:val="32"/>
          <w:szCs w:val="32"/>
        </w:rPr>
      </w:pPr>
      <w:r>
        <w:rPr>
          <w:rFonts w:ascii="Times" w:hAnsi="Times" w:cs="Times"/>
          <w:b/>
          <w:bCs/>
          <w:sz w:val="32"/>
          <w:szCs w:val="32"/>
        </w:rPr>
        <w:t>Multiple Myeloma</w:t>
      </w:r>
    </w:p>
    <w:p w:rsidR="00E6348E" w:rsidRDefault="00E6348E" w:rsidP="00E6348E">
      <w:pPr>
        <w:widowControl w:val="0"/>
        <w:autoSpaceDE w:val="0"/>
        <w:autoSpaceDN w:val="0"/>
        <w:adjustRightInd w:val="0"/>
        <w:spacing w:after="320"/>
        <w:rPr>
          <w:rFonts w:ascii="Times" w:hAnsi="Times" w:cs="Times"/>
          <w:sz w:val="32"/>
          <w:szCs w:val="32"/>
        </w:rPr>
      </w:pPr>
      <w:r>
        <w:rPr>
          <w:rFonts w:ascii="Times" w:hAnsi="Times" w:cs="Times"/>
          <w:sz w:val="32"/>
          <w:szCs w:val="32"/>
        </w:rPr>
        <w:t>The median age for diagnosis of multiple myeloma is 71 years of age. The incidence of multiple myeloma is much higher in blacks than whites, and is higher among males. Similar to incidence rates, the death rates are higher among males than females and higher among blacks than whites. This is one of the few cancer sites in which the survival rate is higher for blacks than for whites. The causes of multiple myeloma and the reasons for the racial disparity in incidence are unclear.</w:t>
      </w:r>
    </w:p>
    <w:p w:rsidR="00E6348E" w:rsidRDefault="00E6348E" w:rsidP="00E6348E">
      <w:pPr>
        <w:widowControl w:val="0"/>
        <w:autoSpaceDE w:val="0"/>
        <w:autoSpaceDN w:val="0"/>
        <w:adjustRightInd w:val="0"/>
        <w:spacing w:after="320"/>
        <w:rPr>
          <w:rFonts w:ascii="Times" w:hAnsi="Times" w:cs="Times"/>
          <w:sz w:val="32"/>
          <w:szCs w:val="32"/>
        </w:rPr>
      </w:pPr>
      <w:r>
        <w:rPr>
          <w:rFonts w:ascii="Times" w:hAnsi="Times" w:cs="Times"/>
          <w:sz w:val="32"/>
          <w:szCs w:val="32"/>
        </w:rPr>
        <w:t>Some studies have suggested the role of ionizing radiation, certain organic solvents and chemicals, as well as employment in farming and agricultural occupations. In recent studies, genetic factors, low socioeconomic status (SES), and obesity have been implicated. Recent attention has also focused on viruses and other infectious agents, but their role in the etiology of myeloma remains unclear. There is growing evidence that certain cytokines and chromosomal abnormalities may be involved in the pathogenesis of multiple myeloma. These laboratory-based genetic measures need to be incorporated into future epidemiologic studies to better understand the complex relationships between genetic and environmental factors in the development of this disease.</w:t>
      </w:r>
    </w:p>
    <w:p w:rsidR="00E6348E" w:rsidRDefault="00E6348E" w:rsidP="00E6348E">
      <w:pPr>
        <w:widowControl w:val="0"/>
        <w:autoSpaceDE w:val="0"/>
        <w:autoSpaceDN w:val="0"/>
        <w:adjustRightInd w:val="0"/>
        <w:spacing w:after="320"/>
        <w:rPr>
          <w:rFonts w:ascii="Times" w:hAnsi="Times" w:cs="Times"/>
          <w:sz w:val="32"/>
          <w:szCs w:val="32"/>
        </w:rPr>
      </w:pPr>
      <w:r>
        <w:rPr>
          <w:rFonts w:ascii="Times" w:hAnsi="Times" w:cs="Times"/>
          <w:sz w:val="32"/>
          <w:szCs w:val="32"/>
        </w:rPr>
        <w:t>In a recent study, NCI investigators found that low SES, whether measured by occupation-based SES, income, or education, may account for about half of the excess incidence observed among blacks. Low SES may be a surrogate for a set of negative environmental characteristics, such as poor housing, dangerous jobs, lack of access to medical care, poor nutrition, and exposure to infectious agents, all of which may have a role in this disease.</w:t>
      </w:r>
    </w:p>
    <w:p w:rsidR="00E6348E" w:rsidRDefault="00E6348E" w:rsidP="00E6348E">
      <w:pPr>
        <w:widowControl w:val="0"/>
        <w:autoSpaceDE w:val="0"/>
        <w:autoSpaceDN w:val="0"/>
        <w:adjustRightInd w:val="0"/>
        <w:spacing w:after="320"/>
        <w:rPr>
          <w:rFonts w:ascii="Times" w:hAnsi="Times" w:cs="Times"/>
          <w:sz w:val="32"/>
          <w:szCs w:val="32"/>
        </w:rPr>
      </w:pPr>
      <w:r>
        <w:rPr>
          <w:rFonts w:ascii="Times" w:hAnsi="Times" w:cs="Times"/>
          <w:sz w:val="32"/>
          <w:szCs w:val="32"/>
        </w:rPr>
        <w:t>The rarity of this cancer makes it difficult to adequately investigate in a single study, so that collaborative efforts involving a variety of hematopoietic malignancies are being pursued.</w:t>
      </w:r>
    </w:p>
    <w:p w:rsidR="00E6348E" w:rsidRDefault="00E6348E" w:rsidP="00E6348E">
      <w:pPr>
        <w:widowControl w:val="0"/>
        <w:autoSpaceDE w:val="0"/>
        <w:autoSpaceDN w:val="0"/>
        <w:adjustRightInd w:val="0"/>
        <w:spacing w:after="320"/>
        <w:jc w:val="center"/>
        <w:rPr>
          <w:rFonts w:ascii="Times" w:hAnsi="Times" w:cs="Times"/>
          <w:b/>
          <w:bCs/>
          <w:sz w:val="32"/>
          <w:szCs w:val="32"/>
        </w:rPr>
      </w:pPr>
      <w:r>
        <w:rPr>
          <w:rFonts w:ascii="Times" w:hAnsi="Times" w:cs="Times"/>
          <w:b/>
          <w:bCs/>
          <w:sz w:val="32"/>
          <w:szCs w:val="32"/>
        </w:rPr>
        <w:t>New Strategies for Treatment of LLM</w:t>
      </w:r>
    </w:p>
    <w:p w:rsidR="00E6348E" w:rsidRDefault="00E6348E" w:rsidP="00E6348E">
      <w:pPr>
        <w:widowControl w:val="0"/>
        <w:autoSpaceDE w:val="0"/>
        <w:autoSpaceDN w:val="0"/>
        <w:adjustRightInd w:val="0"/>
        <w:spacing w:after="320"/>
        <w:rPr>
          <w:rFonts w:ascii="Times" w:hAnsi="Times" w:cs="Times"/>
          <w:sz w:val="32"/>
          <w:szCs w:val="32"/>
        </w:rPr>
      </w:pPr>
      <w:r>
        <w:rPr>
          <w:rFonts w:ascii="Times" w:hAnsi="Times" w:cs="Times"/>
          <w:sz w:val="32"/>
          <w:szCs w:val="32"/>
        </w:rPr>
        <w:t>Therapeutic research in the treatment of patients with hematologic malignancies has made enormous progress over the past 50 years, and the NCI has shepherded this important work. Many years ago, NCI established the National Service Center to enable basic scientists to design and test chemical agents for evidence of anti-tumor activity. In addition to pioneering cancer drug screening, the NCI funded an entire preclinical drug discovery and development program. The NCI has continuously supported investigators to pursue all phases of clinical evaluation of products emanating from their own discovery and developmental efforts, and interacts with the pharmaceutical industry and academic institutions to explore their novel agents.</w:t>
      </w:r>
    </w:p>
    <w:p w:rsidR="00E6348E" w:rsidRDefault="00E6348E" w:rsidP="00E6348E">
      <w:pPr>
        <w:widowControl w:val="0"/>
        <w:autoSpaceDE w:val="0"/>
        <w:autoSpaceDN w:val="0"/>
        <w:adjustRightInd w:val="0"/>
        <w:spacing w:after="320"/>
        <w:rPr>
          <w:rFonts w:ascii="Times" w:hAnsi="Times" w:cs="Times"/>
          <w:sz w:val="32"/>
          <w:szCs w:val="32"/>
        </w:rPr>
      </w:pPr>
      <w:r>
        <w:rPr>
          <w:rFonts w:ascii="Times" w:hAnsi="Times" w:cs="Times"/>
          <w:sz w:val="32"/>
          <w:szCs w:val="32"/>
        </w:rPr>
        <w:t xml:space="preserve">In the last decade, there has been an enormous investment in defining molecularly targeted agents in cancer chemotherapy. Recently we have seen some inspiring success stories, all of them direct results of this new approach. The first evidence of a consistent gene mutation associated with a particular cancer was provided about 40 years ago by the recognition of the Philadelphia chromosome, an abnormally small chromosome 22, in chronic myeloid leukemia (CML). Some years later, researchers noted that while chromosome 22 was shortened, chromosome 9 was lengthened in CML patients, which suggested that the pieces of each chromosome were exchanged, or translocated. This observation was followed by the identification of a unique fusion gene, called </w:t>
      </w:r>
      <w:r>
        <w:rPr>
          <w:rFonts w:ascii="Times" w:hAnsi="Times" w:cs="Times"/>
          <w:i/>
          <w:iCs/>
          <w:sz w:val="32"/>
          <w:szCs w:val="32"/>
        </w:rPr>
        <w:t>bcr-abl</w:t>
      </w:r>
      <w:r>
        <w:rPr>
          <w:rFonts w:ascii="Times" w:hAnsi="Times" w:cs="Times"/>
          <w:sz w:val="32"/>
          <w:szCs w:val="32"/>
        </w:rPr>
        <w:t xml:space="preserve">, resulting from the translocation, and the eventual development 5 years ago of one of the first oncogene-targeted drugs, STI571 or Gleevec. This compound, which was recently approved by the United States Food and Drug Administration (FDA), is directed at the </w:t>
      </w:r>
      <w:r>
        <w:rPr>
          <w:rFonts w:ascii="Times" w:hAnsi="Times" w:cs="Times"/>
          <w:i/>
          <w:iCs/>
          <w:sz w:val="32"/>
          <w:szCs w:val="32"/>
        </w:rPr>
        <w:t>bcr-abl</w:t>
      </w:r>
      <w:r>
        <w:rPr>
          <w:rFonts w:ascii="Times" w:hAnsi="Times" w:cs="Times"/>
          <w:sz w:val="32"/>
          <w:szCs w:val="32"/>
        </w:rPr>
        <w:t xml:space="preserve"> gene product, which is expressed in about 95% of CML patients, and in some patients with other types of cancers. Gleevec has shown remarkable promise in the treatment of chronic-phase CML, and NCI is partnering with Novartis, the drug manufacturer, to facilitate a profusion of clinical trials evaluating Gleevec in other cancers, including Philadelphia chromosome-positive ALL in adults and children. Additional trials are assessing the potential benefits of combining Gleevec with other chemotherapeutic agents. Molecular analyses of other types of leukemia have now produced the identification of more than 100 additional oncogene targets that may be accessible to similar drug development strategies.</w:t>
      </w:r>
    </w:p>
    <w:p w:rsidR="00E6348E" w:rsidRDefault="00E6348E" w:rsidP="00E6348E">
      <w:pPr>
        <w:widowControl w:val="0"/>
        <w:autoSpaceDE w:val="0"/>
        <w:autoSpaceDN w:val="0"/>
        <w:adjustRightInd w:val="0"/>
        <w:spacing w:after="320"/>
        <w:rPr>
          <w:rFonts w:ascii="Times" w:hAnsi="Times" w:cs="Times"/>
          <w:sz w:val="32"/>
          <w:szCs w:val="32"/>
        </w:rPr>
      </w:pPr>
      <w:r>
        <w:rPr>
          <w:rFonts w:ascii="Times" w:hAnsi="Times" w:cs="Times"/>
          <w:sz w:val="32"/>
          <w:szCs w:val="32"/>
        </w:rPr>
        <w:t>Monoclonal antibodies are showing great promise in the treatment LLM. Among them, Rituximab, which was originally approved by the FDA in 1997 for the treatment of non-Hodgkin’s lymphoma (NHL), is an antibody directed at a cell surface antigen expressed on B lymphocytes and has been shown to be effective against many types of B cell malignancies. Currently, for both children and adults, rituximab is under study in combination with other therapies, including other monoclonal antibodies, attempting to attack multiple targets on a single cell type.</w:t>
      </w:r>
    </w:p>
    <w:p w:rsidR="00E6348E" w:rsidRDefault="00E6348E" w:rsidP="00E6348E">
      <w:pPr>
        <w:widowControl w:val="0"/>
        <w:autoSpaceDE w:val="0"/>
        <w:autoSpaceDN w:val="0"/>
        <w:adjustRightInd w:val="0"/>
        <w:spacing w:after="320"/>
        <w:rPr>
          <w:rFonts w:ascii="Times" w:hAnsi="Times" w:cs="Times"/>
          <w:sz w:val="32"/>
          <w:szCs w:val="32"/>
        </w:rPr>
      </w:pPr>
      <w:r>
        <w:rPr>
          <w:rFonts w:ascii="Times" w:hAnsi="Times" w:cs="Times"/>
          <w:sz w:val="32"/>
          <w:szCs w:val="32"/>
        </w:rPr>
        <w:t>In addition, NCI-sponsored studies are evaluating several new antibodies. Generally, leukemias, lymphomas, and multiple myelomas are derived from cells of the immune system and therefore frequently express antigens that are present on normal immune cells such as B-cells or T-cells. Since these proteins are not present on other human cells and are not present on the stem cells that give rise to normal B-cells and the T-cells, the antigens are excellent targets for cancer therapy. NCI researchers have devised a cancer treatment strategy that kills cells containing B-cell or T-cell specific antigens. When this occurs the normal cells are regenerated, but the cancer cells are not. One strategy is to fuse the portions of antibodies that bind to CD22 (a B-cell antigen) or CD25 (a T-cell antigen) to a potent bacterial toxin termed Pseudomonas exotoxin A. The genetically modified toxin then specifically binds to and kills cells expressing CD22 or CD25. Since many lymphomas and leukemias express CD22 or CD25, these tumor cells are killed.</w:t>
      </w:r>
    </w:p>
    <w:p w:rsidR="00E6348E" w:rsidRDefault="00E6348E" w:rsidP="00E6348E">
      <w:pPr>
        <w:widowControl w:val="0"/>
        <w:autoSpaceDE w:val="0"/>
        <w:autoSpaceDN w:val="0"/>
        <w:adjustRightInd w:val="0"/>
        <w:spacing w:after="320"/>
        <w:rPr>
          <w:rFonts w:ascii="Times" w:hAnsi="Times" w:cs="Times"/>
          <w:sz w:val="32"/>
          <w:szCs w:val="32"/>
        </w:rPr>
      </w:pPr>
      <w:r>
        <w:rPr>
          <w:rFonts w:ascii="Times" w:hAnsi="Times" w:cs="Times"/>
          <w:sz w:val="32"/>
          <w:szCs w:val="32"/>
        </w:rPr>
        <w:t>A promising ongoing NCI study is using this approach to combat B-cell malignancies. The antigen CD22 is expressed on about 70 % of lymphomas and leukemias. A recombinant immunotoxin termed BL22 has been designed and produced to kill tumor cells expressing CD22, and patients with hairy cell leukemia, chronic lymphocytic leukemia (CLL), and some lymphomas have been treated in a Phase I trial. Remarkable anti-tumor activity has been observed in patients with hairy cell leukemia. Several patients with CLL have responded as well. Enrollment into this trial is continuing, and once the maximum tolerated dose is established, Phase II trials in hairy cell leukemia, CLL, and lymphomas (in a post-transplant setting) will be opened for enrollment.</w:t>
      </w:r>
    </w:p>
    <w:p w:rsidR="00E6348E" w:rsidRDefault="00E6348E" w:rsidP="00E6348E">
      <w:pPr>
        <w:widowControl w:val="0"/>
        <w:autoSpaceDE w:val="0"/>
        <w:autoSpaceDN w:val="0"/>
        <w:adjustRightInd w:val="0"/>
        <w:spacing w:after="320"/>
        <w:rPr>
          <w:rFonts w:ascii="Times" w:hAnsi="Times" w:cs="Times"/>
          <w:sz w:val="32"/>
          <w:szCs w:val="32"/>
        </w:rPr>
      </w:pPr>
      <w:r>
        <w:rPr>
          <w:rFonts w:ascii="Times" w:hAnsi="Times" w:cs="Times"/>
          <w:sz w:val="32"/>
          <w:szCs w:val="32"/>
        </w:rPr>
        <w:t>Other antibodies under investigation are coupled to other potent anti-tumor substances, like radioactive molecules or anti-tumor antibiotics, and have the potential advantage of being able to deliver this tumor killing substance directly to the tumor site, where they attack antigen-positive tumor cells that other therapeutic agents might not penetrate well.</w:t>
      </w:r>
    </w:p>
    <w:p w:rsidR="00E6348E" w:rsidRDefault="00E6348E" w:rsidP="00E6348E">
      <w:pPr>
        <w:widowControl w:val="0"/>
        <w:autoSpaceDE w:val="0"/>
        <w:autoSpaceDN w:val="0"/>
        <w:adjustRightInd w:val="0"/>
        <w:spacing w:after="320"/>
        <w:rPr>
          <w:rFonts w:ascii="Times" w:hAnsi="Times" w:cs="Times"/>
          <w:sz w:val="32"/>
          <w:szCs w:val="32"/>
        </w:rPr>
      </w:pPr>
      <w:r>
        <w:rPr>
          <w:rFonts w:ascii="Times" w:hAnsi="Times" w:cs="Times"/>
          <w:sz w:val="32"/>
          <w:szCs w:val="32"/>
        </w:rPr>
        <w:t>Anti-cancer vaccines are a high priority research area for NCI. Unlike conventional vaccines, which are used to prevent illness, the anti-cancer vaccines represent a therapeutic approach, which seeks to strengthen the body’s natural defenses against diseases, such as cancer, that have already developed. Vaccine therapy for lymphomas has shown considerable promise. Results of a recently completed lymphoma vaccine study conducted by NCI researchers have shown that there is a clear anti-tumor effect in a small group of patients who were vaccinated over the course of five years. On the basis of these promising results, NCI has launched a large-scale, multi-institutional, randomized, phase III clinical trial, to definitively test the experimental vaccine, which is custom-made from patients' own tumors.</w:t>
      </w:r>
    </w:p>
    <w:p w:rsidR="00E6348E" w:rsidRDefault="00E6348E" w:rsidP="00E6348E">
      <w:pPr>
        <w:widowControl w:val="0"/>
        <w:autoSpaceDE w:val="0"/>
        <w:autoSpaceDN w:val="0"/>
        <w:adjustRightInd w:val="0"/>
        <w:spacing w:after="320"/>
        <w:rPr>
          <w:rFonts w:ascii="Times" w:hAnsi="Times" w:cs="Times"/>
          <w:sz w:val="32"/>
          <w:szCs w:val="32"/>
        </w:rPr>
      </w:pPr>
      <w:r>
        <w:rPr>
          <w:rFonts w:ascii="Times" w:hAnsi="Times" w:cs="Times"/>
          <w:sz w:val="32"/>
          <w:szCs w:val="32"/>
        </w:rPr>
        <w:t>Immunotherapeutic approaches for treatment of multiple myeloma are also being evaluated. Investigators are examining the potential for immunization strategies in which a normal donor is vaccinated with the myeloma protein. The normal donor forms antibodies, called idiotype antibodies, and these are used to treat the patient. Preclinical studies of idiotype immunization demonstrate that this approach can induce an immune response that prevents tumor relapse or progression in myeloma models. Additional studies are determining the feasibility of inducing an active immune response against myeloma-specific antigens, such as MUC-1 and DF3.</w:t>
      </w:r>
    </w:p>
    <w:p w:rsidR="00E6348E" w:rsidRDefault="00E6348E" w:rsidP="00E6348E">
      <w:pPr>
        <w:widowControl w:val="0"/>
        <w:autoSpaceDE w:val="0"/>
        <w:autoSpaceDN w:val="0"/>
        <w:adjustRightInd w:val="0"/>
        <w:spacing w:after="320"/>
        <w:rPr>
          <w:rFonts w:ascii="Times" w:hAnsi="Times" w:cs="Times"/>
          <w:sz w:val="32"/>
          <w:szCs w:val="32"/>
        </w:rPr>
      </w:pPr>
      <w:r>
        <w:rPr>
          <w:rFonts w:ascii="Times" w:hAnsi="Times" w:cs="Times"/>
          <w:sz w:val="32"/>
          <w:szCs w:val="32"/>
        </w:rPr>
        <w:t>The NCI is involved in the development of a large number of new therapeutic agents with a wide array of unique mechanisms of action. We now know that cancer arises from the disruption of fundamental cell processes. Basic research findings have identified a plethora of potential therapeutic targets for further exploitation. There is an ever-lengthening list of promising agents that affect cell cycle regulation, gene expression, apoptosis (programmed cell death), and other cell functions, currently undergoing or awaiting investigation in clinical trials.</w:t>
      </w:r>
    </w:p>
    <w:p w:rsidR="00E6348E" w:rsidRDefault="00E6348E" w:rsidP="00E6348E">
      <w:pPr>
        <w:widowControl w:val="0"/>
        <w:autoSpaceDE w:val="0"/>
        <w:autoSpaceDN w:val="0"/>
        <w:adjustRightInd w:val="0"/>
        <w:spacing w:after="320"/>
        <w:rPr>
          <w:rFonts w:ascii="Times" w:hAnsi="Times" w:cs="Times"/>
          <w:sz w:val="32"/>
          <w:szCs w:val="32"/>
        </w:rPr>
      </w:pPr>
      <w:r>
        <w:rPr>
          <w:rFonts w:ascii="Times" w:hAnsi="Times" w:cs="Times"/>
          <w:sz w:val="32"/>
          <w:szCs w:val="32"/>
        </w:rPr>
        <w:t>A striking example of the benefit of this kind of molecularly targeted therapy is all-trans retinoic acid (ATRA) for the treatment of acute promyelocytic leukemia (APL). ATRA works essentially by reversing the effects of a specific chromosomal translocation that disables both differentiation and apoptotic processes in affected cells. The introduction of this agent has increased the cure rate for APL from 40 percent to over 70 percent in just 10 years. Some patients who have been treated successfully with ATRA experience relapse, and recently, arsenicals, a group of rediscovered compounds that induce apoptosis via a different, more broadly applicable mechanism, have shown great utility as a second line of defense against APL. Arsenic trioxide is now being evaluated for use in a variety of lymphoid malignancies, as well as other cancers, and for use in childhood APL, and also for use as a first line treatment.</w:t>
      </w:r>
    </w:p>
    <w:p w:rsidR="00E6348E" w:rsidRDefault="00E6348E" w:rsidP="00E6348E">
      <w:pPr>
        <w:widowControl w:val="0"/>
        <w:autoSpaceDE w:val="0"/>
        <w:autoSpaceDN w:val="0"/>
        <w:adjustRightInd w:val="0"/>
        <w:spacing w:after="320"/>
        <w:rPr>
          <w:rFonts w:ascii="Times" w:hAnsi="Times" w:cs="Times"/>
          <w:sz w:val="32"/>
          <w:szCs w:val="32"/>
        </w:rPr>
      </w:pPr>
      <w:r>
        <w:rPr>
          <w:rFonts w:ascii="Times" w:hAnsi="Times" w:cs="Times"/>
          <w:sz w:val="32"/>
          <w:szCs w:val="32"/>
        </w:rPr>
        <w:t>Finding effective treatments for multiple myeloma has proven extremely challenging for cancer researchers. Recently, the success of thalidomide in treating MM patients has been very encouraging. Thalidomide effectively arrests tumor growth by stimulating anti-tumor immune response, interfering with communication between tumor cells and the surrounding tissue, and inhibiting the growth of new blood vessels (angiogenesis) near the tumor. Thalidomide’s anti-angiogenic activity, was first recognized as the feature that caused birth defects in the children of women who took thalidomide in the 1950’s and 1960’s. Astute researchers theorized that the same feature could prove useful in restricting the blood supply to tumors. NCI-sponsored investigators recently report a 30 percent response rate for MM patients receiving thalidomide on a clinical trial. New trials are seeking to optimize the role of this agent, and some other antiangiogenic agents are being evaluated, as well. Because anti-angiogenic drugs have the potential to cause defects in a developing fetus, pregnant woman are excluded from participating in clinical research on these drugs.</w:t>
      </w:r>
    </w:p>
    <w:p w:rsidR="00E6348E" w:rsidRDefault="00E6348E" w:rsidP="00E6348E">
      <w:pPr>
        <w:widowControl w:val="0"/>
        <w:autoSpaceDE w:val="0"/>
        <w:autoSpaceDN w:val="0"/>
        <w:adjustRightInd w:val="0"/>
        <w:spacing w:after="320"/>
        <w:rPr>
          <w:rFonts w:ascii="Times" w:hAnsi="Times" w:cs="Times"/>
          <w:sz w:val="32"/>
          <w:szCs w:val="32"/>
        </w:rPr>
      </w:pPr>
      <w:r>
        <w:rPr>
          <w:rFonts w:ascii="Times" w:hAnsi="Times" w:cs="Times"/>
          <w:sz w:val="32"/>
          <w:szCs w:val="32"/>
        </w:rPr>
        <w:t>Bone marrow transplantation and peripheral blood stem cell transplantation techniques continue to be tested in clinical trials for certain LLM patients. Sometimes cancers become resistant to treatment with radiation therapy or chemotherapy. Very high doses of chemotherapy may then be used to treat the cancer. Because the high doses of chemotherapy can destroy the bone marrow, marrow is taken from the bones before treatment. The marrow is then frozen, and the patient is given high-dose chemotherapy with or without radiation therapy to treat the cancer. The marrow is then thawed and given back to the patient to replace the marrow that was destroyed. This type of transplant is called an autologous transplant. If the marrow is taken from another person, the transplant is called an allogeneic transplant. Another type of autologous transplant is called a peripheral blood stem cell transplant. The patient's circulating stem cells are collected, treated with drugs to kill any cancer cells, then frozen until they are returned to the patient. This procedure may be done alone or with an autologous bone marrow transplant.</w:t>
      </w:r>
    </w:p>
    <w:p w:rsidR="00E6348E" w:rsidRDefault="00E6348E" w:rsidP="00E6348E">
      <w:pPr>
        <w:widowControl w:val="0"/>
        <w:autoSpaceDE w:val="0"/>
        <w:autoSpaceDN w:val="0"/>
        <w:adjustRightInd w:val="0"/>
        <w:spacing w:after="320"/>
        <w:rPr>
          <w:rFonts w:ascii="Times" w:hAnsi="Times" w:cs="Times"/>
          <w:sz w:val="32"/>
          <w:szCs w:val="32"/>
        </w:rPr>
      </w:pPr>
      <w:r>
        <w:rPr>
          <w:rFonts w:ascii="Times" w:hAnsi="Times" w:cs="Times"/>
          <w:sz w:val="32"/>
          <w:szCs w:val="32"/>
        </w:rPr>
        <w:t>The role of stem cell transplantation in caring for patients with LLM varies with tumor type. Autologous stem cell transplantation clearly benefits patients in a chemotherapy-sensitive relapse of their disease, but its role as initial treatment is undefined. A national trial is comparing the efficacy of initial transplantation with transplantation at the time of first relapse. Other studies are evaluating the role of biological therapies such as interleukin-2, and immune response stimulator, and rituximab for their effectiveness in enhancing the benefit of transplantation.</w:t>
      </w:r>
    </w:p>
    <w:p w:rsidR="00E6348E" w:rsidRDefault="00E6348E" w:rsidP="00E6348E">
      <w:pPr>
        <w:widowControl w:val="0"/>
        <w:autoSpaceDE w:val="0"/>
        <w:autoSpaceDN w:val="0"/>
        <w:adjustRightInd w:val="0"/>
        <w:spacing w:after="320"/>
        <w:rPr>
          <w:rFonts w:ascii="Times" w:hAnsi="Times" w:cs="Times"/>
          <w:sz w:val="32"/>
          <w:szCs w:val="32"/>
        </w:rPr>
      </w:pPr>
      <w:r>
        <w:rPr>
          <w:rFonts w:ascii="Times" w:hAnsi="Times" w:cs="Times"/>
          <w:sz w:val="32"/>
          <w:szCs w:val="32"/>
        </w:rPr>
        <w:t>Many patients do not benefit from stem cell transplantation, and major efforts are directed at identifying the reasons and to develop methods to improve on these results. Some investigators are developing methods to harness patients’ own immune responses. Alternatively, other researchers are using a technique called donor leukocyte infusion (DLI) that introduces T cells capable of generating a graft-versus-tumor effect (in which the donor cells attack the patient’s cancerous cells). However, they are also capable of generating a potent graft-versus-host disease (GVHD, in which the donor cells attack the healthy tissues of the patient) that could be fatal to the patient. Studies of the array of T cells that are present post DLI are being conducted to better understand which T cell populations are necessary to achieve the desired result while minimizing GVHD.</w:t>
      </w:r>
    </w:p>
    <w:p w:rsidR="00E6348E" w:rsidRDefault="00E6348E" w:rsidP="00E6348E">
      <w:pPr>
        <w:widowControl w:val="0"/>
        <w:autoSpaceDE w:val="0"/>
        <w:autoSpaceDN w:val="0"/>
        <w:adjustRightInd w:val="0"/>
        <w:spacing w:after="320"/>
        <w:rPr>
          <w:rFonts w:ascii="Times" w:hAnsi="Times" w:cs="Times"/>
          <w:sz w:val="32"/>
          <w:szCs w:val="32"/>
        </w:rPr>
      </w:pPr>
      <w:r>
        <w:rPr>
          <w:rFonts w:ascii="Times" w:hAnsi="Times" w:cs="Times"/>
          <w:sz w:val="32"/>
          <w:szCs w:val="32"/>
        </w:rPr>
        <w:t>Allogeneic bone marrow transplant may cure patients who do not respond to standard chemotherapy, but the mortality of this procedure in patients with LLM has been very high. Moreover, age restrictions limit the number of patients who might be eligible for this procedure. There has now been an expanded information base on the use, for non-Hodgkin’s lymphoma, of non-myeloablative transplants (in which the bone marrow is not completely destroyed) with DLI. Recently, investigators have described their experience with patients over the age of 55 years. GVHD occurred less frequently than expected and many patients were able to go through the procedure without requiring hospitalization. As a consequence, the notion that more intensive treatment is better is being challenged, and the role of the immune system in cancer progression is being better delineated.</w:t>
      </w:r>
    </w:p>
    <w:p w:rsidR="00E6348E" w:rsidRDefault="00E6348E" w:rsidP="00E6348E">
      <w:pPr>
        <w:widowControl w:val="0"/>
        <w:autoSpaceDE w:val="0"/>
        <w:autoSpaceDN w:val="0"/>
        <w:adjustRightInd w:val="0"/>
        <w:spacing w:after="320"/>
        <w:rPr>
          <w:rFonts w:ascii="Times" w:hAnsi="Times" w:cs="Times"/>
          <w:sz w:val="32"/>
          <w:szCs w:val="32"/>
        </w:rPr>
      </w:pPr>
      <w:r>
        <w:rPr>
          <w:rFonts w:ascii="Times" w:hAnsi="Times" w:cs="Times"/>
          <w:sz w:val="32"/>
          <w:szCs w:val="32"/>
        </w:rPr>
        <w:t>The NCI sponsors the International Bone Marrow Transplant Registry, which is the world’s largest body of data on outcomes following transplantation for LLM and other cancers. Data are provided from more than 400 centers and there are now data for more than 65,000 transplants worldwide. The information collected is used for determining transplant regimens for specific clinical situations, identifying prognostic factors, comparing transplant regimens, comparing transplant with non-transplant approaches, evaluating cost and cost-effectiveness, planning clinical trials, and developing approaches to evaluate outcomes.</w:t>
      </w:r>
    </w:p>
    <w:p w:rsidR="00E6348E" w:rsidRDefault="00E6348E" w:rsidP="00E6348E">
      <w:pPr>
        <w:widowControl w:val="0"/>
        <w:autoSpaceDE w:val="0"/>
        <w:autoSpaceDN w:val="0"/>
        <w:adjustRightInd w:val="0"/>
        <w:spacing w:after="320"/>
        <w:rPr>
          <w:rFonts w:ascii="Times" w:hAnsi="Times" w:cs="Times"/>
          <w:sz w:val="32"/>
          <w:szCs w:val="32"/>
        </w:rPr>
      </w:pPr>
      <w:r>
        <w:rPr>
          <w:rFonts w:ascii="Times" w:hAnsi="Times" w:cs="Times"/>
          <w:sz w:val="32"/>
          <w:szCs w:val="32"/>
        </w:rPr>
        <w:t>Clinical trials for LLM treatment have demonstrated remarkable success and are a vital component of the NCI’s research program. Currently, our clinical trials database contains descriptions of 177 NCI-sponsored leukemia treatment trials, 170 for lymphoma, and 67 for multiple myeloma. Our clinical trials program is the place where promising new strategies discovered at the laboratory bench are applied to real human problems at the bedside. Clinical trials offer cancer patients access to state-of-the-art care, and provide us the opportunity to learn something from every patient that may help someone else. Our rapid pace of discovery in the basic biology of cancer is refining our knowledge of how to intervene in cancer development, and clinical trials are the crucial final step in bringing these discoveries to people who are battling cancer.</w:t>
      </w:r>
    </w:p>
    <w:p w:rsidR="00E6348E" w:rsidRDefault="00E6348E" w:rsidP="00E6348E">
      <w:pPr>
        <w:widowControl w:val="0"/>
        <w:autoSpaceDE w:val="0"/>
        <w:autoSpaceDN w:val="0"/>
        <w:adjustRightInd w:val="0"/>
        <w:spacing w:after="320"/>
        <w:jc w:val="center"/>
        <w:rPr>
          <w:rFonts w:ascii="Times" w:hAnsi="Times" w:cs="Times"/>
          <w:b/>
          <w:bCs/>
          <w:sz w:val="32"/>
          <w:szCs w:val="32"/>
        </w:rPr>
      </w:pPr>
      <w:r>
        <w:rPr>
          <w:rFonts w:ascii="Times" w:hAnsi="Times" w:cs="Times"/>
          <w:b/>
          <w:bCs/>
          <w:sz w:val="32"/>
          <w:szCs w:val="32"/>
        </w:rPr>
        <w:t>Conclusion</w:t>
      </w:r>
    </w:p>
    <w:p w:rsidR="00E6348E" w:rsidRDefault="00E6348E" w:rsidP="00E6348E">
      <w:pPr>
        <w:widowControl w:val="0"/>
        <w:autoSpaceDE w:val="0"/>
        <w:autoSpaceDN w:val="0"/>
        <w:adjustRightInd w:val="0"/>
        <w:spacing w:after="320"/>
        <w:rPr>
          <w:rFonts w:ascii="Times" w:hAnsi="Times" w:cs="Times"/>
          <w:sz w:val="32"/>
          <w:szCs w:val="32"/>
        </w:rPr>
      </w:pPr>
      <w:r>
        <w:rPr>
          <w:rFonts w:ascii="Times" w:hAnsi="Times" w:cs="Times"/>
          <w:sz w:val="32"/>
          <w:szCs w:val="32"/>
        </w:rPr>
        <w:t>Progress in our understanding of cancer and our ability to detect and treat it have led to a real and continuing decline in the cancer incidence and death rates. However, our excitement over important scientific progress and the very real human gains that result is tempered by the knowledge that far too many Americans continue to suffer and die from cancer each day. Moreover, all groups of people are not benefiting equally from our advances against cancer. NCI is embracing the challenge of understanding the causes of health disparities in cancer and developing effective interventions to reduce them. Plans call for increasing fundamental research into the social causes of health disparities, the psychosocial factors that mediate them, and the biologic pathways that can explain their impact. In addition, we will expand our cancer control intervention and population research on disparities, better define and monitor cancer-related health disparities, and strengthen training and education in this research area. Effective communication empowers people to make informed cancer-related decisions and to engage in behaviors that will improve their health. Few other initiatives have the potential to simultaneously improve health outcomes, decrease health care costs, and enhance community satisfaction. Our intent is to learn how to help people distinguish important from insignificant health risks and deal with contradictory or inaccurate health messages so they can make informed choices.</w:t>
      </w:r>
    </w:p>
    <w:p w:rsidR="00E6348E" w:rsidRDefault="00E6348E" w:rsidP="00E6348E">
      <w:pPr>
        <w:widowControl w:val="0"/>
        <w:autoSpaceDE w:val="0"/>
        <w:autoSpaceDN w:val="0"/>
        <w:adjustRightInd w:val="0"/>
        <w:spacing w:after="320"/>
        <w:rPr>
          <w:rFonts w:ascii="Times" w:hAnsi="Times" w:cs="Times"/>
          <w:sz w:val="32"/>
          <w:szCs w:val="32"/>
        </w:rPr>
      </w:pPr>
      <w:r>
        <w:rPr>
          <w:rFonts w:ascii="Times" w:hAnsi="Times" w:cs="Times"/>
          <w:sz w:val="32"/>
          <w:szCs w:val="32"/>
        </w:rPr>
        <w:t>Too many Americans, for a host of reasons, lack access to high quality, cutting-edge cancer treatment and care. NCI is launching research to improve the quality of cancer care by strengthening the information base for cancer care decision making. Researchers seek to better understand what constitutes quality cancer care, with an emphasis on the patient's perspective; identify geographic, racial/ ethnic, and other disparities in who receives quality care; and strengthen the scientific basis for selecting appropriate interventions. Our goal is to enhance the state of the science for defining, monitoring, and improving the quality of cancer care and inform Federal decision making on cancer care delivery, coverage, and regulation.</w:t>
      </w:r>
    </w:p>
    <w:p w:rsidR="00E6348E" w:rsidRDefault="00E6348E" w:rsidP="00E6348E">
      <w:pPr>
        <w:widowControl w:val="0"/>
        <w:autoSpaceDE w:val="0"/>
        <w:autoSpaceDN w:val="0"/>
        <w:adjustRightInd w:val="0"/>
        <w:spacing w:after="320"/>
        <w:rPr>
          <w:rFonts w:ascii="Times" w:hAnsi="Times" w:cs="Times"/>
          <w:sz w:val="32"/>
          <w:szCs w:val="32"/>
        </w:rPr>
      </w:pPr>
      <w:r>
        <w:rPr>
          <w:rFonts w:ascii="Times" w:hAnsi="Times" w:cs="Times"/>
          <w:sz w:val="32"/>
          <w:szCs w:val="32"/>
        </w:rPr>
        <w:t>We have learned the value of including as broad a constituency as possible in our review, advisory, and planning activities, and we have forged new relationships with patients, practitioners, scientists in different fields of research and medicine, other government agencies, private sector companies, innovators in technology, and many other partners where such alliances were rare or non-existent only a few years ago. Illustrating our commitment to this philosophy as we seek to accelerate progress against LLM, the NCI convened a Progress Review Group (PRG) last year to conduct an intensive review of our research portfolio in LLM. This initiative, one of a highly beneficial series of PRG’s fitting within NCI's new disease-specific planning framework, featured expert panels who provided a comprehensive view of the state of our current knowledge, and you will see that many of our research priorities will reflect the recommendations the PRG described in their report, issued last month, and available on our website at: osp.nci.nih.gov/prg_assess/prg/llmprg/llm_rpt.htm.</w:t>
      </w:r>
    </w:p>
    <w:p w:rsidR="00E6348E" w:rsidRDefault="00E6348E" w:rsidP="00E6348E">
      <w:pPr>
        <w:widowControl w:val="0"/>
        <w:autoSpaceDE w:val="0"/>
        <w:autoSpaceDN w:val="0"/>
        <w:adjustRightInd w:val="0"/>
        <w:spacing w:after="320"/>
        <w:rPr>
          <w:rFonts w:ascii="Times" w:hAnsi="Times" w:cs="Times"/>
          <w:sz w:val="32"/>
          <w:szCs w:val="32"/>
        </w:rPr>
      </w:pPr>
      <w:r>
        <w:rPr>
          <w:rFonts w:ascii="Times" w:hAnsi="Times" w:cs="Times"/>
          <w:sz w:val="32"/>
          <w:szCs w:val="32"/>
        </w:rPr>
        <w:t>We have a special interest in enlisting the help of cancer survivors. The NCI created the Consumer Advocates in Research and Related Activities (CARRA) program to encourage people affected by cancer to provide their viewpoint and ideas directly to NCI staff so that the NCI can incorporate this perspective into our programs and activities. Our goal is to recruit 150 consumer advocates (cancer survivors, family members, or those who are involved in cancer-related activities like support groups, cancer hot lines, or advocacy groups) to become members of CARRA and represent many different cancer types, age groups, and ethnic groups from across the Nation. In addition to participating in NCI activities, CARRA members will represent the opinions of their groups and play critical roles as two-way information links between their own communities and constituencies and the NCI.</w:t>
      </w:r>
    </w:p>
    <w:p w:rsidR="00E6348E" w:rsidRDefault="00E6348E" w:rsidP="00E6348E">
      <w:pPr>
        <w:widowControl w:val="0"/>
        <w:autoSpaceDE w:val="0"/>
        <w:autoSpaceDN w:val="0"/>
        <w:adjustRightInd w:val="0"/>
        <w:spacing w:after="320"/>
        <w:rPr>
          <w:rFonts w:ascii="Times" w:hAnsi="Times" w:cs="Times"/>
          <w:sz w:val="32"/>
          <w:szCs w:val="32"/>
        </w:rPr>
      </w:pPr>
      <w:r>
        <w:rPr>
          <w:rFonts w:ascii="Times" w:hAnsi="Times" w:cs="Times"/>
          <w:sz w:val="32"/>
          <w:szCs w:val="32"/>
        </w:rPr>
        <w:t>NCI has been entrusted with guiding our Nation’s commitment to a complete understanding of cancer: from understanding how a normal cell becomes cancerous to understanding why some people get cancer and others do not; and across the continuum through detection, diagnosis, treatment, survivorship, and ultimately prevention. NCI’s mission is broad and our approach is necessarily ambitious, because, while our primary role and our expertise is research, our interest is people: our families, friends, neighbors, and colleagues – and yours. Our goal is to eradicate cancer and save the lives of those who would otherwise be lost to us.</w:t>
      </w:r>
    </w:p>
    <w:p w:rsidR="00E6348E" w:rsidRDefault="00E6348E" w:rsidP="00E6348E">
      <w:pPr>
        <w:widowControl w:val="0"/>
        <w:autoSpaceDE w:val="0"/>
        <w:autoSpaceDN w:val="0"/>
        <w:adjustRightInd w:val="0"/>
        <w:spacing w:after="320"/>
        <w:rPr>
          <w:rFonts w:ascii="Times" w:hAnsi="Times" w:cs="Times"/>
          <w:sz w:val="32"/>
          <w:szCs w:val="32"/>
        </w:rPr>
      </w:pPr>
      <w:r>
        <w:rPr>
          <w:rFonts w:ascii="Times" w:hAnsi="Times" w:cs="Times"/>
          <w:sz w:val="32"/>
          <w:szCs w:val="32"/>
        </w:rPr>
        <w:t>Thank you, Mr. Chairman, for giving me this opportunity to share with you our progress against hematologic cancers. I will be pleased to answer any questions you may have.</w:t>
      </w:r>
    </w:p>
    <w:p w:rsidR="00E6348E" w:rsidRDefault="00E6348E" w:rsidP="00E6348E">
      <w:pPr>
        <w:widowControl w:val="0"/>
        <w:autoSpaceDE w:val="0"/>
        <w:autoSpaceDN w:val="0"/>
        <w:adjustRightInd w:val="0"/>
        <w:spacing w:after="160"/>
        <w:rPr>
          <w:rFonts w:ascii="Times New Roman" w:hAnsi="Times New Roman" w:cs="Times New Roman"/>
          <w:sz w:val="32"/>
          <w:szCs w:val="32"/>
        </w:rPr>
      </w:pPr>
    </w:p>
    <w:p w:rsidR="00E6348E" w:rsidRDefault="00E6348E" w:rsidP="00E6348E">
      <w:pPr>
        <w:widowControl w:val="0"/>
        <w:autoSpaceDE w:val="0"/>
        <w:autoSpaceDN w:val="0"/>
        <w:adjustRightInd w:val="0"/>
        <w:jc w:val="center"/>
        <w:rPr>
          <w:rFonts w:ascii="Times New Roman" w:hAnsi="Times New Roman" w:cs="Times New Roman"/>
          <w:sz w:val="32"/>
          <w:szCs w:val="32"/>
        </w:rPr>
      </w:pPr>
      <w:r>
        <w:rPr>
          <w:rFonts w:ascii="Times New Roman" w:hAnsi="Times New Roman" w:cs="Times New Roman"/>
          <w:sz w:val="20"/>
          <w:szCs w:val="20"/>
        </w:rPr>
        <w:t>HHS Home (www.hhs.gov) | Topics (www.hhs.gov/SiteMap.html) | What's New (www.hhs.gov/about/index.html#topiclist) | For Kids (www.hhs.gov/kids/) | FAQs (answers.hhs.gov) | Site Info (www.hhs.gov/SiteMap.html) | Disclaimers (www.hhs.gov/Disclaimer.html) | Privacy Notice (www.hhs.gov/Privacy.html) | FOIA (www.hhs.gov/foia/) | Accessibility (www.hhs.gov/Accessibility.html) | Contact Us (www.hhs.gov/ContactUs.html)</w:t>
      </w:r>
    </w:p>
    <w:p w:rsidR="00E6348E" w:rsidRDefault="00E6348E" w:rsidP="00E6348E">
      <w:pPr>
        <w:widowControl w:val="0"/>
        <w:autoSpaceDE w:val="0"/>
        <w:autoSpaceDN w:val="0"/>
        <w:adjustRightInd w:val="0"/>
        <w:rPr>
          <w:rFonts w:ascii="Times New Roman" w:hAnsi="Times New Roman" w:cs="Times New Roman"/>
          <w:sz w:val="20"/>
          <w:szCs w:val="20"/>
        </w:rPr>
      </w:pPr>
    </w:p>
    <w:p w:rsidR="002A1634" w:rsidRDefault="002A1634">
      <w:bookmarkStart w:id="0" w:name="_GoBack"/>
      <w:bookmarkEnd w:id="0"/>
    </w:p>
    <w:sectPr w:rsidR="002A1634" w:rsidSect="0062192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48E"/>
    <w:rsid w:val="002A1634"/>
    <w:rsid w:val="004E1022"/>
    <w:rsid w:val="00E63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99D2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5530</Words>
  <Characters>31521</Characters>
  <Application>Microsoft Macintosh Word</Application>
  <DocSecurity>0</DocSecurity>
  <Lines>262</Lines>
  <Paragraphs>73</Paragraphs>
  <ScaleCrop>false</ScaleCrop>
  <Company/>
  <LinksUpToDate>false</LinksUpToDate>
  <CharactersWithSpaces>36978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Cankat Tulunay</dc:creator>
  <cp:keywords/>
  <dc:description/>
  <cp:lastModifiedBy>F. Cankat Tulunay</cp:lastModifiedBy>
  <cp:revision>1</cp:revision>
  <dcterms:created xsi:type="dcterms:W3CDTF">2013-04-03T19:20:00Z</dcterms:created>
  <dcterms:modified xsi:type="dcterms:W3CDTF">2013-04-03T19:21:00Z</dcterms:modified>
</cp:coreProperties>
</file>